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ZD19.048348 vom 1. Mai 2020</w:t>
      </w:r>
    </w:p>
    <w:p>
      <w:r>
        <w:t>VD Tribunal cantonal, 2020-05-01, FR</w:t>
      </w:r>
    </w:p>
    <w:p>
      <w:r>
        <w:rPr>
          <w:b/>
        </w:rPr>
        <w:t xml:space="preserve">Quelle: </w:t>
      </w:r>
      <w:r>
        <w:t>https://mcp.opencaselaw.ch/entscheid/vd_gerichte_ZD19.048348</w:t>
      </w:r>
    </w:p>
    <w:p>
      <w:r>
        <w:t>FR: VD_GERICHTE ZD19.048348 du 1 mai 2020</w:t>
      </w:r>
    </w:p>
    <w:p>
      <w:r>
        <w:t>IT: VD_GERICHTE ZD19.048348 del 1 maggio 2020</w:t>
      </w:r>
    </w:p>
    <w:p>
      <w:pPr>
        <w:pStyle w:val="Heading2"/>
      </w:pPr>
      <w:r>
        <w:t>Erwägungen</w:t>
      </w:r>
    </w:p>
    <w:p>
      <w:r>
        <w:rPr>
          <w:b/>
        </w:rPr>
        <w:t>E. 21</w:t>
      </w:r>
    </w:p>
    <w:p>
      <w:r>
        <w:t>août, 23 août et 26 septembre 2018 à la Clinique R.________ (Clinique R.________). Les experts ont retenu, dans leur rapport consensuel du 26 septembre 2018, le diagnostic de syndrome douloureux somatoforme persistant (F45.4) qui, selon eux, était la cause majeure, voire exclusive, de l’incapacité de travail. Les Drs K.________, spécialiste en médecine interne générale et en rhumatologie, X.________, spécialiste en psychiatrie</w:t>
      </w:r>
    </w:p>
    <w:p>
      <w:r>
        <w:t>- 9 - et psychothérapie et F.________, spécialiste en médecine interne générale et en pneumologie, ont précisé ce qui suit : « Les plaintes de l’assuré sont focalisées sur d’une part les douleurs intenses, répondant mal aux antidouleurs localisées au niveau des membres inférieurs au niveau des plantes et au niveau lombaire bas. Parallèlement il existe un état d’asthénie et d’abattement tel que l’assuré passe l’essentiel de son temps en position couchée. Si jusqu’à la survenue du trouble endocrinien, l’assuré était parvenu à adapter son poste de travail pour pouvoir maintenir une activité salariée, la survenue des difficultés hormonales dans le courant de l’année 2015 épuise ses ressources adaptatives, il vit depuis lors de manière recluse, ne trouvant plus l’énergie de se livrer à d’autres activités que celles de se nourrir, se laver ou se rendre en consultation chez l’un ou l’autre de ses thérapeutes. L’approche clinique nous met face à un assuré collaborant non revendicateur, authentique. On est frappé par son aspect déconditionné, son obésité, il n’exhibe aucun comportement démonstratif, il paraît épuisé. L’examen de l’appareil locomoteur, confronté aux différents examens paracliniques, biologiques et radiologiques que nous avons pu consulté ne permettent en aucun cas d’expliquer l’origine des douleurs. Outres (sic) les diagnostics somatiques mentionnés ci-dessous nous sommes donc confrontés à un état douloureux chronique diffus (R52.9) que ne sous-tend aucune lésion organique claire. L’approche clinique psychiatrique écarte la présente de manifestations psychotiques florides, de trouble de l’humeur ou de trouble cognitif. On est cependant frappé par le caractère envahissent de ce syndrome douloureux qui affecte tous les aspect de la vie de cet assuré qui engendre une détresse manifeste. L’effondrement des ressources est tel qu’il s’en remet à son épouse qui satisfait pratiquement la totalité de ses besoins personnels. » Les experts ont conclu à une capacité de travail nulle quel que soit le domaine professionnel envisagé depuis le début de l’année 2016. A noter que sur le plan somatique, l’experte K.________ a retenu, dans son rapport du 21 août 2018, les diagnostics de troubles dégénératifs du rachis dorso-lombaire (M19.88) et de tendinobursite trochantérienne bilatérale (M70.6). Elle a également relevé ce qui suit : « L’examen clinique est frappant par l’important déconditionnement musculaire et par l’excellente collaboration de l’assuré qui a aucun moment n’oppose de résistance ou de comportement démonstratif. Les signes de Waddell pour la lombalgie sont absents et on ne retrouve pas de points de fibromyalgies. Au final on se trouve devant un état douloureux chronique diffus auquel s’associent des lombalgies sur troubles dégénératifs et des</w:t>
      </w:r>
    </w:p>
    <w:p>
      <w:r>
        <w:t>- 10 - tendinobursites trochantériennes, étant (sic) douloureux qui ne paraît être expliqué par aucune lésion organique. Cet état douloureux entraîne des limitations dans toutes les activités de sa vie quotidienne. On soulève la cohérence entre la présentation, les plaintes de l’assuré et sa description de sa vie quotidienne. » Enfin, la Dre K.________ a conclu son rapport du 21 août 2018 en ces termes : « M. B.________ a interrompu toute activité professionnelle depuis janvier 2016 en raison de l’aggravation d’un état douloureux chronique diffus et d’une fatigue par des troubles hormonaux. Cet état douloureux chronique diffus évolue depuis des années, et s’est aggravé depuis deux ans. Depuis l’assuré avoue rester la plupart du temps allongé, incapable de s’adonner à quelque activité que ce soit Même si aucun substrat clair aux douleurs ne peut être mis en évidence, l’incapacité de travail de l’assuré est manifestement totale, en raison de cet état douloureux, et ce dès janvier 2016. » Au plan psychiatrique, l’expert X.________, a, quant à lui, précisé ce qui suit dans son rapport du 23 août 2018 : « Un trouble F68.0 « majoration de symptômes physique pour des raisons psychologiques » n’est pas retenu. Il n’existe pas d’attitude histrionique avec recherche de l’attention d’autrui. Il n’existe pas de plaintes sur-rajoutées. […] Un diagnostic de syndrome douloureux somatoforme persistant F45.4 est retenu. Il existe dans ce cas un degré de gravité fonctionnelles constituée d’une importante atteinte à la santé qui contraint un sujet à ne quasiment plus pouvoir rien faire tant d’un point de vue personnel que social et professionnel. Cet assuré alité quasiment 22 heures / 24 n’a quasiment plus de contacts sociaux, n’appartient à aucune société et ne fait quasiment plus rien de ses journées. […] Il est actuellement dépassé dans ses capacités résiduelles et a consommé la quasi intégralité de ses ressources. Le contexte social en lui-même n’est pas mauvais chez un assuré qui n’a pas contacté d’importantes dettes et qui est marié à une infirmière massothérapeute indépendante. Il n’y a pas d’idées de préjudice ou de recherche de compensation financière.</w:t>
      </w:r>
    </w:p>
    <w:p>
      <w:r>
        <w:t>- 11 - Epuisé, M. B.________ est désormais incapable de s’adapter à des règles et routines, à des changements ou à une flexibilité. Il ne peut plus mettre en œuvre ses compétences spécifiques de tapissier- décorateur ou d’infirmier. La capacité d’endurance fait clairement défaut. La capacité à pouvoir nouer des liens tant en termes familiaux que de vie de groupe fait là aussi défaut M. B.________ ne parvenant même plus à honorer les rares invités ou l’anniversaire de sa petite-fille Il n’effectue plus aucune activité spontanée. Cet assuré peine à se déplacer. Pour toutes ces raisons je retiens une incapacité totale de travail. Il est illusoire d’imaginer que cet assuré puisse reprendre une quelconque activité professionnelle. Son état est préoccupant et sévère. Il l’est probablement depuis 2016, période de la fin de compensation des phénomènes algiques. Le tableau clinique m’est apparu cohérent. Il n’y a pas de discrépance entre les plaintes de l’assuré et ce que j’ai pu observer objectivement à l’examen. Le pronostic est mauvais du fait même de la sévérité de l’atteinte globale à la santé de cet assuré. » Dans un avis du 5 décembre 2018, la Dre L.________ du SMR a préconisé de réinterroger les médecins de la Clinique R.________ en leur posant les questions suivantes : « Conclusion : [..] • La Dresse O.________ dans son expertise de juin 2016 donne une description de la vie quotidienne qui objective des ressources chez l’assuré : elle retient d’ailleurs une majoration des symptômes physiques pour des raisons psychologiques sans répercussion sur la CT [capacité de travail]. Comment expliquez- vous votre distanciation de cet avis et pour quelles raisons objectives ? • Les éléments au dossier évoquent une aggravation courant 2017, ce que relève également la rhumatologue dans son rapport d’expertise ; le rapport d’expertise psychiatrique ne contient pas d’informations sur l’évolution de l’état de santé de l’assuré entre 2016 et le jour d’expertise. Peut-on retenir une aggravation et la perte des ressources de l’assuré en octobre 2017 ? » Dans un rapport complémentaire d’expertise du 8 janvier 2019, le Dr X.________ a répondu comme suit. « Les éléments recueillis actuels qui nous ont amené à retenir le diagnostic de :</w:t>
      </w:r>
    </w:p>
    <w:p>
      <w:r>
        <w:t>- 12 - Syndrome somatoforme douloureux persistant F45.4 La description de ses activité quotidiennes alléguée par l’assuré re trouve (sic) un mode de vie reclus, quasiment grabataire, alité 22 heures sur 24 chez un expertisé qui ne fait quasiment rien de ses journées dans un contexte de réduction uniforme de ses activités dans tous les domaines de l’existence. Il ne nous est pas possible de rejoindre la position d’une CT entière telle que retenue en 2016. […] 2016 est ce qui nous est apparu être un point d’inflexion dans la CT de l’assuré. Il n’y a pas de distanciation vis-à-vis de ce qui a pu être cliniquement observé en 2016 tant en terme diagnostique que de la CT, il ne s’agit pas d’une contre-expertise mais d’une évaluation réalisée deux ans plus tard. Les ressources que nous avons eu à considérer nous sont apparues comme anéanties. Elles ont pu être plus efficientes deux ans auparavant mais nous ne pouvons apprécier que ce qui nous avons observé de manière consensuelle en 2018. Il existe un autre point d’inflexion de la CT relevé en 2017, également relevé en rhumatologie, il peut être considéré, au sens de la vraisemblance prépondérante, plus significatif que le pondérateur « probablement depuis 2016 ». Il ne s’agit là que de vraisemblance prépondérante et non de certitude absolue, l’aggravation et la perte des ressources de l’assuré dès Octobre 2017 peut donc aussi être admise. » Par courriel du 18 janvier 2019, l’assuré a écrit notamment ce qui suit (sic): « Concernant les questions qui ressortent vis-à-vis d’une partie du rapport de la Doctoresse O.________. La Doctoresse O.________ dans l’entretient m’a demandé quelles était mes activités que je faisais avant mon arrêt de travail dans le cadre familiale et mes réponses ont étés écritent de la manière a (depuis mon arrêt de travail). […] Mon activité depuis mon arrêt de travail consiste à être couché entre 20 et 23 heures sur 24, tant mon épuisement m’empêche de faire les activités habituelles tel que repassage, préparation des repas, achats du quotidien. Je ne faisais que ma toilette, manger, aller au wc. Mes rendez vous médicaux, je n’en faisais qu’un par journée et le matin, car après mon épuisement est tel que je devais me reposer et récupérer un peu d’énergie. Voilà ce que j’arrivai à faire depuis janvier 2016 […] » Une transaction a été signée les 8 et 26 janvier 2019, par laquelle l’assureur perte de gain de l’assuré s’est engagé à lui payer les</w:t>
      </w:r>
    </w:p>
    <w:p>
      <w:r>
        <w:t>- 13 - indemnités journalières pour la période allant du 1er mars 2017 au 2 décembre 2017. Dans un rapport SMR du 22 février 2019, la Dre L.________ a mentionné ne pas comprendre sur quelle base s’appuyait l’expert psychiatre pour faire remonter l’IT [incapacité de travail] à début 2016 lorsqu’une spécialiste psychiatrique retenait une capacité de travail entière en juin 2016 pour un trouble qui n’atteignait de loin pas la gravité décrite lors de l’expertise de la Clinique R.________. Elle a en outre considéré que l’expert psychiatre n’amenait pas d’élément objectif pouvant justifier sa position 2 ans plus tard, relevant que, selon lui, l’aggravation et la perte des ressources de l’assuré dès octobre 2017 pouvait être admise. Par courrier du 5 mars 2019 adressé à l’OAI, l’épouse de l’assuré a décrit l’évolution du quotidien de son mari en expliquant qu’il y avait eu une forte aggravation de son état de santé en 2015, suivie à fin 2016 d’un nouveau palier d’aggravation et que dès le début 2016, il y avait eu une tentative d’améliorer son sommeil, en raison des douleurs qui l’empêchaient de dormir, avec un traitement qui avait déclenché des effets paradoxaux avec une agitation psychomotrice majeure, dont il avait mis 6 mois à se remettre sur le plan cognitif ainsi que des adaptations au niveau de son traitement antalgique (rotation d’opiacé) qui avaient été extrêmement éprouvantes provoquant à chaque fois sur une longue durée une exacerbation encore plus importantes des douleurs, péjorant à chaque fois davantage son état général. En parallèle, l’OAI a, par projet de décision du 5 mars 2019, informé l’assuré de son intention de lui octroyer une rente entière dès le 1er octobre 2018, en précisant qu’il présentait une incapacité de travail sans interruption notable depuis le 1er octobre 2017 et que le délai d’attente d’une année était calculé à partir de cette date. Dans un document daté du 18 mars 2019, le Dr D.________, médecin traitant de l’assuré, a attesté que dès janvier 2016, l’affection dont souffrait son patient avait eu des répercussions tant sur sa vie</w:t>
      </w:r>
    </w:p>
    <w:p>
      <w:r>
        <w:t>- 14 - professionnelle que privée, avec notamment une limitation très importante de ses capacités physiques l’empêchant d’avoir une activité suivie et l’obligeant à se reposer la majeure partie de sa journée (2 heures d’activité par jour maximum au total). Il en découlait une atteinte réelle à sa capacité à assumer les activités de la vie quotidienne et une incapacité de travail totale. Par courrier du 2 mai 2019, l’assuré s’est opposé au projet de décision de l’OAI du 5 mars 2019, en tant que le point de départ de la rente entière octroyée en sa faveur était le 1er octobre 2018 et non le 1er octobre 2017 Le 13 juin 2019, l’assuré a sollicité qu’une décision formelle soit rendue, déjà en ce qui concernait la rente courante. Par courrier du 26 août 2019, l’assuré a précisé que la rente était due dès le 1er janvier 2017 et non dès le 1er octobre 2017 comme mentionné dans les précédents courriers. Le 17 septembre 2019, l’OAI, se référant à un avis juriste daté du même jour, a répondu à l’assuré qu’il y avait lieu de retenir que le début de l’incapacité de travail datait d’octobre 2017, arguant que la Dre O.________ avait estimé sa capacité de travail entière, dans son rapport d’expertise du 19 juillet 2016, pour un trouble qui n’atteignait pas la gravité décrite dans l’expertise pluridisciplinaire du 9 janvier 2018 [recte :</w:t>
      </w:r>
    </w:p>
    <w:p>
      <w:r>
        <w:rPr>
          <w:b/>
        </w:rPr>
        <w:t>E. 26</w:t>
      </w:r>
    </w:p>
    <w:p>
      <w:r>
        <w:t>septembre 2018. En effet, le Dr X.________ ne fait qu’admettre une aggravation de l’état de santé du recourant à partir d’octobre 2017, ce qui ne signifie pas encore que celui-ci disposait d’une capacité de travail avant cette date. Le rapport précité respecte en outre la procédure probatoire structurée applicable en matière de troubles psychiatriques dès lors que les experts se prononcent au moyen des indicateurs pertinents, tels que le degré de gravité fonctionnel de l’atteinte, le contexte social et les ressources mobilisables et qu’ils procèdent à un examen de la cohérence entre l’analyse du degré de gravité fonctionnel et la répercussion de l’atteinte dans les différents domaines de la vie du recourant. En définitive, il convient de se rallier à l’avis des médecins de la Clinique R.________, dont le rapport d’expertise a pleine valeur probante, et de retenir qu’après dix-huit ans de douleurs, le recourant n’a plus été en mesure de compenser ses phénomènes algiques, ayant épuisé toutes ses ressources, et que l’incapacité de travail totale remonte, au stade de la vraisemblance prépondérante, au mois de janvier 2016. 7. Compte tenu de ce qui précède, le recours doit être admis et la décision entreprise réformée en ce sens que le recourant a droit à une rente d’invalidité à compter du 1er janvier 2017 (conformément à l’art. 28 al. 1b LAI).</w:t>
      </w:r>
    </w:p>
    <w:p>
      <w:r>
        <w:t>- 22 -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l’OAI, qui succombe. Obtenant gain de cause avec l’assistance d’un mandataire qualifié, le recourant a droit à une indemnité de dépens à titre de participation aux honoraires de son conseil (art. 61 let. g LPGA), qu’il convient d’arrêter à 2’000 fr., débours et TVA compris (art. 10 et 11 TFJDA [tarif du 28 avril 2015 des frais judiciaires et des dépens en matière administrative ; BLV 173.36.5.1]), et de mettre à la charge de l’intimé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