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ZD19.048018 vom 2. März 2020</w:t>
      </w:r>
    </w:p>
    <w:p>
      <w:r>
        <w:t>VD Tribunal cantonal, 2020-03-02, FR</w:t>
      </w:r>
    </w:p>
    <w:p>
      <w:r>
        <w:rPr>
          <w:b/>
        </w:rPr>
        <w:t xml:space="preserve">Quelle: </w:t>
      </w:r>
      <w:r>
        <w:t>https://mcp.opencaselaw.ch/entscheid/vd_gerichte_ZD19.048018</w:t>
      </w:r>
    </w:p>
    <w:p>
      <w:r>
        <w:t>FR: VD_GERICHTE ZD19.048018 du 2 mars 2020</w:t>
      </w:r>
    </w:p>
    <w:p>
      <w:r>
        <w:t>IT: VD_GERICHTE ZD19.048018 del 2 marzo 2020</w:t>
      </w:r>
    </w:p>
    <w:p>
      <w:pPr>
        <w:pStyle w:val="Heading2"/>
      </w:pPr>
      <w:r>
        <w:t>Erwägungen</w:t>
      </w:r>
    </w:p>
    <w:p>
      <w:r>
        <w:rPr>
          <w:b/>
        </w:rPr>
        <w:t>E. 7</w:t>
      </w:r>
    </w:p>
    <w:p>
      <w:r>
        <w:t>EVALUATION MEDICALE ET MEDICO-ASSURANTIELLE</w:t>
      </w:r>
    </w:p>
    <w:p>
      <w:r>
        <w:t>- 5 - […] Sur le plan rhumatologique pur, compte tenu de la présence de la petite hernie discale L5-S1, les limitations fonctionnelles sont les suivantes : éviter tout port de charges excédant 10 kg de manière épisodique ou de 5 kg de manière répétée, tous travaux en porte-à-faux ou en torsion du rachis lombaire et travaux avec machine vibrante, un travail en position assise exclusive (la possibilité d'alterner la position assise et debout 10 minutes par heure est souhaitable). En respectant ces limitations la capacité de travail est totale sur le plan rhumatologique. En effet il existe une manifeste discordance entre les plaintes alléguées par la patiente et la pauvreté des signes cliniques et des anomalies neuro-radiologiques. Une amélioration partielle de la symptomatologie lombalgique devrait être possible à condition de renforcer la rééducation fonctionnelle qui doit être beaucoup plus active visant à lutter contre le déconditionnement musculaire. Il convient d'y associer toujours des antalgiques et d'éviter la réalisation d'infiltrations itératives qui n'apporteront rien dans ce tableau chronique. D'ailleurs compte tenu de cette chronicité, la symptomatologie évoluant depuis près de dix ans, le pronostic d'une reprise d'une activité professionnelle apparait médiocre d'autant plus que cet état est intriqué avec une pathologie psychiatrique. L'état anxio dépressif chronique est fluctuant s'inscrivant dans le contexte de situations déclenchant une péjoration de quelques symptômes de la lignée dépressive. Vu les traits de personnalité dépendante préexistants et vu le peu de résultats de la psychothérapie de longue durée, qui semble cependant tout à fait appropriée, les chances de guérison sont faibles. Sur le plan psychiatrique il n'y a pas d'éléments suffisants pouvant engendrer une incapacité de travail de longue durée La psychothérapie de longue haleine, dans le cadre de la structure [...] spécialisée dans le suivi de migrants, est tout à fait appropriée. Le traitement médicamenteux avec 50 mg de Quetiapine (neuroleptique atypique prescrit à intention sédative et anxiolytique, autrement connu comme "Seroquel") semble plutôt lourd par rapport à la pathologie et pourrait tout à fait expliquer, au moins partiellement, la fatigue qui gêne l'expertisée. Celle-ci est apparue authentique et crédible dans l'entretien psychiatrique. Ce n'est qu'au début qu'un certain comportement démonstratif et appellatif a été observé. La souffrance émotionnelle et le sentiment d'être malheureuse sont tout à fait authentiques. Quant à la description des séquelles pratiques de son état anxio- dépressif, en particulier concernant le ménage, elle est floue et contradictoire. Le questionnement approfondi montre une moindre gravité des séquelles que celle que l'assurée allègue spontanément. Il en va de même par rapport au degré de gravité de son retrait social. Ceci représente clairement une incohérence non expliquée par les symptômes de la maladie elle-même. Malgré les traits dépendants de sa personnalité rendant difficile la sortie de son cercle familial d'origine, nous constatons une personnalité qui a passablement de ressources.</w:t>
      </w:r>
    </w:p>
    <w:p>
      <w:r>
        <w:t>- 6 - Les ressources intellectuelles de l'assurée semblent pourtant tout à fait satisfaisantes et permettraient théoriquement une activité professionnelle de bureautique. On se heurte évidemment à la méconnaissance du français chez une assurée domiciliée cependant depuis près de 18 ans en Suisse qui n'a jamais eu d'activité professionnelle régulière.</w:t>
      </w:r>
    </w:p>
    <w:p>
      <w:r>
        <w:rPr>
          <w:b/>
        </w:rPr>
        <w:t>E. 8</w:t>
      </w:r>
    </w:p>
    <w:p>
      <w:r>
        <w:t>REPONSES AUX QUESTIONS DU MANDAT En tenant compte de l'intégralité des affections somatiques et psychiques l'état de santé de Madame T.________, sans emploi depuis 2012, justifie une incapacité de travail de 20 % par baisse de rendement dans toute activité professionnelle respectant les limitations fonctionnelles suivantes : éviter tout port de charges excédant 10 kg de manière épisodique ou de 5 kg de manière répétée, tous travaux en porte-à-faux ou en torsion du rachis lombaire et travaux avec machine vibrante, un travail en position assise exclusive (la possibilité d'alterner la position assise et debout 10 minutes par heure est souhaitable). Par projet de décision du 11 juin 2019, l’OAI a informé l’assurée de son intention de rejeter sa demande de prestations. L’assurée a contesté ce projet le 26 juin 2019. Elle a produit différentes pièces, soit : - un rapport du 13 mai 2019 du Prof. G.________ et du Dr Q.________ indiquant que l’évolution sur le plan de la myasthénie était stable sous le traitement actuel et proposant sa poursuite ; - une attestation du 27 août 2019 du Dr P.________, spécialiste en psychiatrie et psychothérapie, et de la psychologue X.________, [...], dont le contenu était le suivant : Madame T.________ est connue de nos services depuis 2001 pour une symptomatologie anxieuse, dépressive et labile. La fluctuation du suivi a été dépendante des résurgences symptomatiques. Notre perspective longitudinale nous permet d'observer une péjoration cumulative de Mme T.________ dont l'état de santé psychique a été fortement « atteint » par le diagnostic de myasthénie et les répercussions de cette maladie. En effet, avant l'atteinte myasthénique, Madame T.________ régulait son agitation émotionnelle par une tendance marquée à l'obsessionnalité (rituels de rangement et d'hygiène) et à l'activisme en réalisant de nombreuses tâches ménagères de préparation de repas de propreté, de soin à son aîné, de manière compulsive.</w:t>
      </w:r>
    </w:p>
    <w:p>
      <w:r>
        <w:t>- 7 - Son équilibre psychique dépendait de sa capacité physique à pouvoir se soumettre à ses pulsions obsessionnelles. La myasthénie, de par ses répercussions sur son énergie physique disponible a mis à mal son fonctionnement psychique qui s'est alors décompensé. Depuis lors, et malgré une amélioration de la symptomatologie myasthénique, elle n'a pas pu retrouver un équilibre psychique compensé. Dès lors l'état de santé psychique est durablement mis à mal. Au vu de l'asthénie, de l'anhédonie, de l'athymhormie, de la perte de plaisir et d'espoir que nous observons en entretien, ainsi que des difficultés de concentration, de l'hypersensibilité au stress, la capacité résiduelle de travail reste nulle. - un certificat médical du 29 août du Dr B.________ indiquant que sa patiente présentait les atteintes à la santé suivantes : une myasthénie, un état anxiodépressif avec troubles du sommeil, thymique, fatigabilité et somatisation ainsi que des lombosciatalgies allant en s’aggravant. Par décision du 26 septembre 2019, l’OAI a rejeté la demande de prestations déposée par l’assurée au motif que son degré d’invalidité, fixé à 20 %, était insuffisant à ouvrir le droit à une rente d’invalidité. B. Par acte du 29 octobre 2019, T.________ défère la décision précitée devant la Cour des assurances sociales du Tribunal cantonal, concluant implicitement à sa réforme et à l’octroi d’une rente d’invalidité. Elle fait valoir n’être pas en mesure de travailler à 80 %, y compris dans les domaines retenus par l’OAI. Par réponse du 12 décembre 2019, l’OAI conclut au rejet du recours.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w:t>
      </w:r>
    </w:p>
    <w:p>
      <w:r>
        <w:t>- 8 -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L’objet du litige porte sur le droit aux prestations de l’assurance-invalidité de la recourante, singulièrement sur la question de savoir si elle présente une atteinte invalidante au sens de l’assurance- invalidité.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pouvoir fixer le degré d'invalidité, l'administration – en cas de recours, le juge – se fonde sur des documents médicaux, ainsi que,</w:t>
      </w:r>
    </w:p>
    <w:p>
      <w:r>
        <w:t>- 9 -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w:t>
      </w:r>
    </w:p>
    <w:p>
      <w:r>
        <w:t>- 10 -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d)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w:t>
      </w:r>
    </w:p>
    <w:p>
      <w:r>
        <w:t>- 11 -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- 12 - 5. a) En l’espèce, il est constant que la recourante présente plusieurs atteintes à la santé : une surdité bilatérale appareillée, une myasthénie à forme oculaire pure, des lombalgies, une asthénie, une obésité de grade 1, une hypercholestérolémie et un état anxiodépressif (rapports du Dr R.________, spécialiste en radiologie, du 14 novembre 2009 ; du Dr B.________ des 27 avril 2016, 17 août 2017 et 29 août 2019 ; du Prof. G.________ et du Dr D.________ du 13 janvier 2016 ; du centre [...] des 4 octobre 2016, 1er novembre 2017, 8 janvier 2018 et 27 août 2019 ; du Prof. G.________ et du Dr W.________ du 13 avril 2017 ; du Prof. G.________ du 11 juillet 2017 ; de la Dre V.________ du SMR des 14 mars 2018, 30 avril 2018 et 14 février 2019 ; du Prof. G.________ et du Dr K.________ du 4 janvier 2018 ; du Prof. G.________ et du Dr Q.________ du 13 mai 2019 ; du Dr Z.________, médecin-chef auprès du [...], du 22 janvier 2019). b) Se prévalant de ces atteintes à la santé, la recourante conteste être en mesure de travailler dans la mesure retenue par la décision du 26 septembre 2019. aa) Pour fonder son appréciation l’OAI s’est fondé sur l’expertise pluridisciplinaire du 7 janvier 2019 des Drs H.________, N.________, S.________ et M.________. Celle-ci porte sur l’ensemble des atteintes à la santé de la recourante. Dans leur rapport, les spécialistes ont résumé tous les éléments médicaux à leur disposition. Ils ont listé les plaintes de la recourante, les ont confrontées à leurs constatations objectives et ont posé des conclusions claires. Les médecins de [...] ont également étudié les traitements mis en place. Ils ont ainsi déterminé quels étaient les empêchements entraînés dans la vie quotidienne par les atteintes à la santé (ATF 134 V 109 consid. 10.2.4 ; TF 8C_459/2017 du 6 avril 2018 consid. 5.2). Dans le cadre de leur examen, les experts ont constaté qu’il existait une « manifeste discordance entre les plaintes alléguées par la patiente et la pauvreté des signes cliniques et des anomalies neuro-radiologiques ». Une amélioration de la symptomatologie lombalgique était en outre possible à condition de renforcer la rééducation fonctionnelle et d’associer des antalgiques.</w:t>
      </w:r>
    </w:p>
    <w:p>
      <w:r>
        <w:t>- 13 - Les spécialistes ont ainsi procédé à une analyse fine et détaillée des atteintes de la recourante pour conclure à une pleine capacité de travail avec une diminution de rendement de 20 % dans une activité adaptée respectant les limitations fonctionnelles suivantes : éviter tout port de charges excédant 10 kg de manière épisodique ou de 5 kg de manière répétée, tous travaux en porte-à-faux ou en torsion du rachis lombaire et travaux avec machine vibrante, un travail en position assise exclusive. bb) Sur le plan psychiatrique, le Dr S.________ a posé les diagnostics sans répercussion sur la capacité de travail de trouble anxieux et dépressif réactionnel depuis l'année 2000 (F41.2) et d’accentuation de certains traits de la personnalité surtout de type dépendant, à moindre degré émotionnellement instable, depuis l'adolescence (Z73.1). Le spécialiste a clairement expliqué les raisons ayant fondé son appréciation. Il a en particulier indiqué pourquoi il s’était distancié de l’avis des médecins et psychologue [...] (cf. rapports des 4 octobre 2016, 1er novembre 2017, 8 janvier 2018 et 27 août 2019) pour conclure à l’absence d’un grave trouble maladif de la personnalité, d’un trouble de l’attention avec hyperactivité et de cyclothymie. Il a retenu que la recourante présentait des éléments de personnalité émotionnellement labile de type impulsif, mais qui ne dominaient pas le tableau. C’est le lieu de relever qu’au terme de leur rapport du 8 janvier 2018, les Dres C.________, F.________ et la psychologue X.________ avaient elles-mêmes remis en question leur précédent diagnostic de trouble de l’attention avec hyperactivité. Le Dr S.________ a également relevé les ressources de la personnalité de l’assurée, sa stabilité intrinsèque, sa capacité et sa volonté à maintenir et à garantir le fonctionnement de son noyau familial dans des situations objectivement difficiles et sa bonne capacité d’affirmation de soi dans le cadre de l’examen psychiatrique. Le psychiatre a enfin relevé certaines incohérences quant aux conséquences pratiques de l’état anxiodépressif dont se prévalait la recourante. Ainsi,</w:t>
      </w:r>
    </w:p>
    <w:p>
      <w:r>
        <w:t>- 14 - celle-ci s’était montrée floue et contradictoire au cours de l’expertise. Les séquelles alléguées s’avéraient moins graves, tout comme l’importance du retrait social. c) La recourante n’apporte aucun élément médical objectif mettant en doute l’appréciation motivée des experts du 7 janvier 2019. Il ressort au contraire de plusieurs rapports médicaux un consensus sur les limitations fonctionnelles retenues (rapports des 27 avril 2016 et 17 août 2017 du Dr B.________). Au demeurant, il ne figure au dossier aucun rapport médical contenant des éléments factuels qui auraient été ignorés par les experts. En particulier, les différents rapports produits par la recourante à l’appui de sa contestation du projet de décision n’apportent aucun élément médical pertinent. Ainsi, le rapport du 13 mai 2019 du Prof. G.________ et du Dr Q.________ confirme l’évolution stable de la myasthénie, laquelle a été constatée par les experts de [...]. Le certificat médical du 29 août 2019 du Dr B.________ ne mentionne aucune atteinte qui n’aurait pas été soigneusement examinée. Enfin, l’appréciation des intervenants [...] repose sur les mêmes éléments que ceux retenus par le Dr S.________ – qui a expliqué les raisons pour lesquelles il s’en était éloigné – et constitue donc une appréciation différente d’un même état de fait, sans qu’aucun élément ne permette de remettre en question l’évaluation de l’expert. d) En conséquence, c’est à juste titre que l’OAI a suivi l’opinion exprimée par les experts de [...] le 7 janvier 2019 et retenu que la recourante disposait d’une capacité de travail entière avec un rendement diminué à concurrence de 20 % dans une activité adaptée à ses limitations fonctionnelles. 6. Reste à examiner le degré d’invalidité de la recourante. a) L’assuré a droit à une rente si sa capacité de gain ou sa capacité d’accomplir ses travaux habituels ne peut pas être rétablie, maintenue ou améliorée par des mesures de réadaptation</w:t>
      </w:r>
    </w:p>
    <w:p>
      <w:r>
        <w:t>- 15 -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d) L’assuré peut, selon sa situation personnelle, voir ses perspectives salariales être réduites par des facteurs tels que l’âge, le handicap, les années de services, la nationalité, le titre de séjour ou le</w:t>
      </w:r>
    </w:p>
    <w:p>
      <w:r>
        <w:t>- 16 - taux d’occupation. Une évaluation globale des effets de ces circonstances sur le revenu d’invalide est nécessaire. La jurisprudence admet de procéder à une déduction de 25 % au maximum pour en tenir compte (ATF 129 V 472 consid. 4.2.3 ; 126 V 75). e) Pour calculer le taux d’invalidité de la recourante, l’Office a recouru à l’ESS pour déterminer le revenu sans invalidité puis le revenu avec invalidité, prenant en considération le salaire qu’une femme en bonne santé peut percevoir dans des activités non qualifiées du domaine de la production et des services. Ce mode de faire n’est pas critiquable. En effet, aux termes du formulaire « détermination du statut (part active/part ménagère) » qu’elle a rempli le 28 avril 2016, la recourante a indiqué que, sans atteinte à la santé, elle travaillerait au taux de 100 %. Il ressort en outre de plusieurs pièces au dossier que la recourante a travaillé entre 2001 et 2002 comme serveuse puis, en 2011 et 2012, dans le domaine du nettoyage et qu’elle est depuis sans activité. Dans la mesure où tant le revenu sans invalidité que le revenu avec invalidité sont déterminés au moyen de l’ESS et ressortent dès lors de la même donnée statistique, force est de constater que le degré d’invalidité se confond avec le degré d’incapacité de travail. A cet égard, on relèvera que les circonstances ne justifiait pas de retenir un abattement sur le salaire statistique pris en compte pour fixer le revenu d’invalide (cf. consid. 6d supra). En conclusion, en tenant compte d’une capacité résiduelle de travail de 80 % compte tenu d’une diminution de rendement de 20 % dans une activité adaptée aux limitations fonctionnelles, le degré d’invalidité de la recourante s’élève à 20 %, taux insuffisant à ouvrir le droit à la rente. 7. a) Sur le vu de ce qui précède, le recours doit être rejeté et la décision du 26 septembre 2019 confirmée. b) En dérogation à l’art. 61 let. a LPGA, la procédure de recours en matière de contestation portant sur l’octroi ou le refus de prestations de l’assurance-invalidité devant le tribunal cantonal des</w:t>
      </w:r>
    </w:p>
    <w:p>
      <w:r>
        <w:t>- 17 - assurances est soumise à des frais de justice (art. 69 al. 1bis première phrase LAI). En l’espèce, les frais de justice doivent être fixés à 400 fr. et mis à la charge de la recourante qui succombe. c) Il n’y a par ailleurs pas lieu d’allouer de dépens, la recourante – qui du reste a agi sans l’aide d’un mandataire professionnel –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