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ZD19.047383 vom 11. März 2021</w:t>
      </w:r>
    </w:p>
    <w:p>
      <w:r>
        <w:t>VD Tribunal cantonal, 2021-03-11, FR</w:t>
      </w:r>
    </w:p>
    <w:p>
      <w:r>
        <w:rPr>
          <w:b/>
        </w:rPr>
        <w:t xml:space="preserve">Quelle: </w:t>
      </w:r>
      <w:r>
        <w:t>https://mcp.opencaselaw.ch/entscheid/vd_gerichte_ZD19.047383</w:t>
      </w:r>
    </w:p>
    <w:p>
      <w:r>
        <w:t>FR: VD_GERICHTE ZD19.047383 du 11 mars 2021</w:t>
      </w:r>
    </w:p>
    <w:p>
      <w:r>
        <w:t>IT: VD_GERICHTE ZD19.047383 del 11 marzo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Selon l’art. 93 let. a LPA-VD, qui s’applique aux recours et contestations par voie d’action dans le domaine des assurances sociales (art. 2 al. 1 let. c LPA-VD), la Cour des assurances sociales du Tribunal cantonal, composée de trois magistrats (art. 94 al. 4 LPA-VD) est compétente pour statuer.</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w:t>
      </w:r>
    </w:p>
    <w:p>
      <w:r>
        <w:t>- 18 -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b) Le présent litige porte sur le droit du recourant à des prestations de l’assurance-invalidité, singulièrement à une rente d’invalidité.</w:t>
      </w:r>
    </w:p>
    <w:p>
      <w:r>
        <w:rPr>
          <w:b/>
        </w:rPr>
        <w:t>E. 3</w:t>
      </w:r>
    </w:p>
    <w:p>
      <w:r>
        <w:t>a) Selon une jurisprudence constante, le juge apprécie la légalité des décisions attaquées d’après l’état de fait existant au moment où la décision litigieuse a été rendue ; les faits survenus postérieurement et ayant modifié cette situation doivent faire l’objet d’une nouvelle décision administrative (ATF 131 V 242 consid. 2.1 ; 121 V 362 consid. 1b ; TF 9C_719/2016 du 1er mai 2017 consid. 2). b) L’état de fait à prendre en compte est celui qui prévalait au 23 septembre 2019, date de la décision. Il convient de déterminer dans quelle mesure les pièces produites par le recourant dans le cadre de l’échange d’écritures doivent être prises en considération. Le dernier rapport du Dr J.________ a été établi postérieurement à cette date, le 26 novembre 2019. Quoi qu’il en soit, ce rapport ne fait pas référence à une consultation précise et indique simplement que le médecin donne suite à une demande de Procap, en qualité de médecin traitant de l’assuré. Le médecin ne fait que réitérer son avis quant à la capacité de travail du recourant dans ce certificat, avis qui ressort du reste d’autres pièces au dossier, datées d’avant la décision litigieuse, de sorte que le rapport en question n’est pas déterminant. S’agissant du rapport des urgences de l’Hôpital [...], des derniers rapports du Dr F.________ et des Dres N.________ et [...], ceux-ci sont antérieurs à la décision, de sorte qu’ils entrent dans la construction de l’état de fait déterminant. Le dernier bilan neuropsychologique du recourant au dossier date du 5 décembre 2019, soit après la date de la décision. L’intimé l’a</w:t>
      </w:r>
    </w:p>
    <w:p>
      <w:r>
        <w:t>- 19 - toutefois analysé, soumis au SMR pour avis et s’est déterminé à son sujet, de sorte que ce rapport peut également être pris en compte. S’agissant en revanche de l’infarctus du recourant et des documents médicaux qui s’y rapportent, cet évènement ayant eu lieu près d’une année après la reddition de la décision, il ne sera pas retenu dans la présente cause, mais pourra éventuellement faire l’objet d’une nouvelle demande auprès de l’OAI.</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applicable dans sa version en vigueur jusqu’au 31 décembre 2020, conformément à l’art. 83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w:t>
      </w:r>
    </w:p>
    <w:p>
      <w:r>
        <w:t>- 20 - celui qu’il pourrait obtenir en exerçant l’activité qui peut raisonnablement être exigée de lui après les traitements et les mesures de réadaptation, sur un marché du travail équilibré (revenu avec invalidité ; art. 16 LPGA).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w:t>
      </w:r>
    </w:p>
    <w:p>
      <w:r>
        <w:t>- 21 - consid. 5.1 ; 125 V 351 consid. 3a ; TF 8C_877/2018 du 24 juillet 2019 consid. 5). e)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w:t>
      </w:r>
    </w:p>
    <w:p>
      <w:r>
        <w:rPr>
          <w:b/>
        </w:rPr>
        <w:t>E. 5</w:t>
      </w:r>
    </w:p>
    <w:p>
      <w:r>
        <w:t>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Le Tribunal fédéral a par ailleurs maintenu, voire renforcé, la portée des motifs d’exclusion définis dans l’ATF 131 V 49, aux termes desquels il y a lieu de conclure à l’absence d’une atteinte à la santé</w:t>
      </w:r>
    </w:p>
    <w:p>
      <w:r>
        <w:t>- 22 - ouvrant le droit aux prestations d’assurance, si les limitations liées à l’exercice d’une activité résultent d’une exagération des symptômes ou d’une constellation semblable, et ce même si les caractéristiques du trouble au sens de la classification sont réalisées (ATF 141 V 281 consid. 2.2).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TF 9C_16/2016 du 14 juin 2016 consid. 3.2).</w:t>
      </w:r>
    </w:p>
    <w:p>
      <w:r>
        <w:rPr>
          <w:b/>
        </w:rPr>
        <w:t>E. 6</w:t>
      </w:r>
    </w:p>
    <w:p>
      <w:r>
        <w:t>a) En l’espèce, le recourant conteste l’évaluation de sa capacité de travail retenue par l’OAI. Dans ses écritures, il évoque une fatigabilité, des maux de tête, de la nuque, des troubles de la mobilité du côté droit ainsi que des troubles neuropsychologiques. Il expose qu’il n’a pas été en mesure de conduire à nouveau, même dans sa vie privée. Le recourant s’appuie sur l’avis de son médecin traitant, le Dr J.________, ainsi que sur les constatations de troubles neuropsychologiques établies par le W.________. Le recourant tire également argument de ses difficultés d’ordre social, soit notamment ses faibles capacités d’adaptation, ses problèmes d’organisation, de communication et de flexibilité. Il argue enfin que le diagnostic de syndrome d’apnée du sommeil ne serait pas repris dans les conclusions de l’expertise. b) L’analyse de l’intimé découle principalement de l’expertise multidisciplinaire, dont le rapport date du 11 février 2019 et qui a été menée par des experts indépendants, désignés selon la procédure de l’art. 44 LPGA. Les médecins qui sont intervenus sont spécialisés en psychiatrie, psychothérapie et en neurologie. Un neuropsychologue a également collaboré à l’expertise. Chaque expert a établi un rapport complet, puis ils ont rédigé ensemble un document de synthèse après avoir mené une discussion consensuelle. Les rapports individuels</w:t>
      </w:r>
    </w:p>
    <w:p>
      <w:r>
        <w:t>- 23 - présentés sont complets, en ce qu’ils comprennent des listes des documents médicaux consultés, dont le contenu a ensuite été synthétisé, l’anamnèse détaillée et les plaintes du recourant, depuis sa scolarité, la description d’une journée type, les diagnostics retenus, une évaluation de cohérence, une analyse des ressources, ainsi que l’évaluation motivée de la capacité de travail. Les experts ont chacun examiné le recourant, conformément à leurs domaines de spécialité, et des mesures laboratoires supplémentaires ont été réalisées (test d’Epworth, examen sanguin et monitoring médicamenteux). Les experts ont relevé que l’intervention chirurgicale avait été favorable et que le recourant avait complètement récupéré. Sur le plan neurologique, le Dr Q.________ a retenu un status après craniotomie frontale gauche avec peu de troubles moteurs objectifs, mais pouvant toutefois entrainer des limitations dans une activité nécessitant une dextérité manuelle importante. De plus, le port de charge de plus 15 kg n’était pas exigible en raison des antécédents de lombalgies chroniques. Le Dr Q.________ a estimé que la capacité de travail du recourant était complète, théoriquement dans son activité habituelle, de manière plus réaliste dans la pratique, dans une activité adaptée. Le monitoring thérapeutique était dans la norme. Les experts ont constaté une discordance claire entre l’importance des plaintes formulées et l’évolution objectivement favorable de son état sur les plans neuropsychologique et neurochirurgical. Une autre incohérence manifeste résidait dans l’affirmation du recourant, lors de son examen avec le Dr Q.________, que ses maux de tête avaient disparu depuis la prise du médicament Saroten (soit depuis le mois d’octobre 2017 au moins), alors qu’il avait affirmé le contraire à M. K.________, à qui il avait indiqué que ses maux de tête étaient la seule raison de son incapacité de travail. Ces éléments laissent transparaître des indices d’une exagération des symptômes, conformément aux principes rappelés ci-avant. Pour sa part, le Dr M.________ n’a pas observé de trouble cognitif manifeste et il a considéré que les affections psychiatriques du recourant étaient de peu de sévérité. Sur le plan psychique, le recourant ne présentait pas de limitations fonctionnelles comme chauffeur de taxi et sa capacité de travail était entière. Le questionnaire soumis aux experts contenait les indicateurs posés par le Tribunal fédéral pour les troubles psychiques.</w:t>
      </w:r>
    </w:p>
    <w:p>
      <w:r>
        <w:t>- 24 - Ceux-ci ont pris position sur les facteurs de surcharge ainsi que sur les ressources de l’assuré et ont procédé à un contrôle de cohérence. Le rapport d’expertise du B.________ constitue ainsi une évaluation globale documentée de la situation. Contrairement à ce que soutient le recourant, les dernières constatations du Service de neuropsychologie du W.________ ne permettent pas de mettre en doute les conclusions de l’expertise. En effet, la Professeure P.________ ne se prononce ni sur d’éventuelles limitations fonctionnelles, ni sur la capacité de travail du recourant ou sur son aptitude à la conduite de véhicules. Les troubles cognitifs légers retenus avaient été diagnostiqués en août 2016 déjà (rapports du Service de neuropsychologie de H.________ du 8 août 2016 et de la Professeure P.________ du 21 novembre 2016). Quoi qu’il en soit, le recourant a, au contraire, montré de meilleures performances sur certains tests, s’agissant de la vitesse de traitement et des troubles attentionnels lors de cet examen. En outre, comme l’a relevé justement le SMR, le recourant a été capable de mener cet examen neuropsychologique à terme, contrairement à ce qui avait été le cas pour celui mené dans le cadre de l’expertise. Rappelons que d’emblée, le recourant avait alors déclaré qu’il ne voyait pas d’utilité à l’examen neuropsychologique de l’expertise et qu’il ne pourrait probablement pas répondre bien longtemps aux tests. Or ni l’expert psychiatre ni l’expert neurologue n’ont observé de signe de fatigue ou d’autres atteintes qui auraient pu expliquer les raisons pour lesquelles le recourant avait mis fin prématurément à l’examen. S’agissant des rapports établis par le Dr J.________, force est de constater que ceux-ci apparaissent insuffisamment étayés pour jeter le doute sur les conclusions motivées et congruentes des experts du B.________. En effet, le 18 novembre 2016, le Dr J.________ écrivait que le recourant avait eu un AVC, ce qui ne ressort ensuite plus de ses rapports postérieurs, ni d’aucun autre document médical d’ailleurs. Il ne mentionnait pas de céphalées ni de troubles neuropsychologiques. Le rapport n’indique en outre pas de limitation fonctionnelle, pas plus que le certificat reçu par l’OAI le 20 octobre 2017, par lequel le médecin a</w:t>
      </w:r>
    </w:p>
    <w:p>
      <w:r>
        <w:t>- 25 - simplement écrit que de telles limitations étaient réservées. Le Dr J.________ expose dans ce rapport que l’état du recourant s’aggrave, sans autre précision. De plus, le rapport du médecin traitant du 26 novembre 2019 ne mentionne pas non plus d’éventuelles limitations fonctionnelles et ne contient pas de motivation médicale objective soutenant ses conclusions. L’appréciation du Dr J.________ n’est ainsi pas de nature à remettre en question la qualité de l’expertise du B.________, compte tenu des critères précités. Sur le plan des difficultés d’ordre social soulevées par le recourant, le rapport d’expertise ne prête pas le flanc à la critique non plus. La journée type du recourant qui a été reconstituée par les experts met en exergue des ressources, par la relation du recourant avec une amie qui l’aide à faire ses courses, l’habitude du recourant de sortir pour prendre des cafés, ainsi que des vacances effectuées récemment au Brésil. L’évaluation consensuelle des experts prend les facteurs de surcharge du recourant en compte, soit sa faible tolérance à la frustration, sa personnalité émotionnellement labile de type bordeline, sa faible capacité à la communication, son émotivité, son impulsivité et son trouble de l’adaptation (cf. p. 8 du rapport). Ainsi, ces éléments ont bien été pris en considération par les experts. Au plan de l’aptitude à la conduite, le recourant n’a pas entrepris les démarches administratives nécessaires pour récupérer son permis professionnel et n’a pas consulté de médecin spécialisé de niveau trois, sans qu’il n’explique ces choix ni que des éléments médicaux au dossier ne les justifient. Cependant, les experts du B.________ ont retenu dans leur rapport qu’il était plus prudent de faire effectuer une appréciation médico-technique et psychologique du recourant en lien avec la conduite, en situation, avant que son permis de conduire professionnel ne lui soit rendu. La décision de l’OAI retenait, il est vrai, une capacité de travail entière dans l’activité de chauffeur de taxi. Néanmoins, l’OAI a revu cette appréciation dans la réponse au recours, compte tenu du fait qu’en pratique, le recourant n’ayant pas récupéré son permis de conduire professionnel, l’exercice de son activité habituelle était en l’état</w:t>
      </w:r>
    </w:p>
    <w:p>
      <w:r>
        <w:t>- 26 - impossible. L’intimé a alors calculé le degré d’invalidité du recourant, en prenant en considération une activité adaptée à ses limitations fonctionnelles. Le procès d’intention que le recourant fait aux experts et à l’OAI quant à sa capacité de travail en tant que conducteur de taxi n’est pas pertinent. En effet, les experts ont expliqué, en les motivant, les raisons pour lesquelles le recourant présentait une capacité de travail théorique totale dans son activité habituelle. Ils ont ensuite indiqué qu’il convenait par prudence de confirmer cette aptitude, au vu du comportement du recourant. Puis, les experts ont exposé que, quoi qu’il en soit, le recourant présentait une capacité de travail totale dans toute activité adaptée à ses limitations. Leurs conclusions ne sont dès lors pas contradictoires. S’agissant du diagnostic de syndrome d’apnée du sommeil, l’on relève que ce sont les examens des experts qui ont permis de soulever cet élément. Le diagnostic est cependant en l’état uniquement suspecté et non confirmé. Les experts en ont tenu compte dans leurs rapports ; le Dr M.________ a en particulier indiqué qu’un examen du sommeil pouvait éventuellement encore améliorer la capacité de travail du recourant, sur le plan des traitements indiqués et qui sont exigibles. Cet élément ne vient quoi qu’il en soit pas remettre en cause les conclusions des experts. Au surplus et à juste titre, le recourant ne formule aucune critique s’agissant des domaines d’expertise choisis, du déroulement des examens ou de l’évaluation consensuelle. Au vu de ce qui précède, le rapport d’expertise du B.________ peut se voir accorder une pleine valeur probante, car il en remplit tous les réquisits jurisprudentiels. Les experts sont arrivés de manière consensuelle à des conclusions convaincantes et motivées prenant en compte l’ensemble des atteintes du recourant. c) Etant donné les éléments qui précèdent, on ne voit pas qu’une instruction complémentaire permettrait d’apporter un éclairage</w:t>
      </w:r>
    </w:p>
    <w:p>
      <w:r>
        <w:t>- 27 - nouveau ou différent du cas d’espèce. L’on peut dès lors rejeter la requête tendant à la mise en œuvre de mesures d’instruction supplémentaires, par appréciation anticipée des preuves (ATF 124 V 190 consid. 4b ; 122 V 157 consid. 1d). d) Partant, il y a lieu de retenir les conclusions du B.________, reprises par le SMR et l’intimé, et de considérer que le recourant est doté d’une capacité de travail entière dans une activité adaptée depuis le mois de novembre 2016.</w:t>
      </w:r>
    </w:p>
    <w:p>
      <w:r>
        <w:rPr>
          <w:b/>
        </w:rPr>
        <w:t>E. 7</w:t>
      </w:r>
    </w:p>
    <w:p>
      <w:r>
        <w:t>Pour le surplus, le calcul du taux d’invalidité n’est pas contesté en soi, toutefois il convient de préciser ce qui suit.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C’est la méthode ordinaire de comparaison des revenus (art. 16 LPGA et 28a al. 1 LAI). Pour déterminer le revenu sans invalidité, on rappellera qu'il faut établir ce que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La jurisprudence a admis une exception à ce principe et le recours aux données salariales statistiques notamment lorsque l’assuré n’a plus exercé son activité habituelle depuis longtemps (TF I 636/02 du 15 avril 2003). Pour les personnes de condition indépendante, on peut se référer aux revenus figurant dans l'extrait du compte individuel de l'assurance- vieillesse et survivants (TF 8C_661/2018 du 28 octobre 2019 consid. 3.2.2 ; 9C_771/2017 du 29 mai 2018 consid. 3.6 ; 9C_153/2020 du</w:t>
      </w:r>
    </w:p>
    <w:p>
      <w:r>
        <w:rPr>
          <w:b/>
        </w:rPr>
        <w:t>E. 9</w:t>
      </w:r>
    </w:p>
    <w:p>
      <w:r>
        <w:t>octobre 2020 consid. 2). En effet, l'art. 25 al. 1 RAI (règlement du</w:t>
      </w:r>
    </w:p>
    <w:p>
      <w:r>
        <w:t>- 28 - 17 janvier 1961 sur l’assurance-invalidité ; RS 831.201) établit un parallèle entre le revenu soumis à cotisation à l'AVS et le revenu à prendre en considération pour l'évaluation de l'invalidité; le parallèle n'a toutefois pas valeur absolue (TF 8C_748/2008 du 10 juin 2009 consid. 5.2.1 ; TF 9C_153/2020 du 9 octobre 2020 consid. 2). En l’occurrence, le recourant déclare qu’il effectuait douze heures de travail par jour en tant que chauffeur de taxi indépendant. Son compte individuel révèle qu’il a réalisé un revenu annuel de 41'300 fr. en 2015, ce qui paraît d’emblée relativement faible pour un tel horaire de travail. Globalement, les revenus du recourant depuis le début de son activité indépendante sont comparables à ceux de 2015 (8'991 fr. en 2009, 36'000 fr. en 2010 et 2011, 37'215 fr. en 2012, 42'900 fr. en 2013, 73'465 fr. en 2014). A noter que l’on découvre à la lecture du compte individuel du recourant une activité dépendante en 2014, pour un revenu annuel de 26'065 francs. Le recourant n’a plus eu d’activité lucrative depuis la première moitié de l’année 2016. Compte tenu des principes jurisprudentiels précités, il paraît possible, pour déterminer le revenu sans invalidité, de se référer aux statistiques idoines (ESS 2016), adaptées à un horaire hebdomadaire de 41.7 heures. Au demeurant, cette manière d’établir le revenu sans invalidité est favorable au recourant, le montant retenu s’élevant à 68'855 francs, ce qui est manifestement plus élevé que le dernier revenu annuel du recourant, et même qu’une moyenne sur cinq ans de ses revenus avant 2016. L’OAI s’est basé, à raison, sur le salaire statistique pour les hommes, dans la branche 49-52, qui comprend le transport terrestre, au niveau de compétences 1 (5'504 / 40 x 41.7 x 12 = 68'855 francs). Le calcul du revenu avec invalidité ne prête pas non plus le flanc à la critique. Il a été établi à l’aide de l’ESS 2016 également, sur la base du salaire des hommes des secteurs 2 et 3, avec le niveau de compétence 1. Le salaire a ensuite été adapté à l’horaire habituel de la branche, sans indexation puisque l’année concernée est celle des statistiques, et enfin l’abattement de 10 % dû aux limitations fonctionnelles du recourant a été appliqué ([5'340 / 40 x 41.7 x 12] – 10 % = 60'123.06 francs).</w:t>
      </w:r>
    </w:p>
    <w:p>
      <w:r>
        <w:t>- 29 - Aussi, vu la comparaison entre le revenu sans invalidité (68'855 fr.) et celui d’invalide (60'123.06 fr.), dont il ressort un degré d’invalidité de 12.68 %, c’est à juste titre que l’OAI a refusé l’octroi d’une rente, le seuil de 40 % ouvrant le droit à cette prestation n’étant pas atteint. 8. a) En définitive, le recours, mal fondé, doit être rejeté et la décision attaquée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Le recourant est rendu attentif au fait qu’il est tenu d’en rembourser le montant, dès qu’il sera en mesure de le faire (art. 122 al. 1 let. b et 123 CPC [code fédéral de procédure civile du 19 décembre 2008 ; RS 272], applicable par renvoi de l’art. 18 al. 5 LPA-VD). Il incombe au Service juridique et législatif de fixer les modalités de remboursement (art. 5 RAJ [règlement cantonal vaudois du 7 décembre 2010 sur l’assistance judiciaire en matière civile ; BLV 211.02.3]). c) Il n’y a par ailleurs pas lieu d’allouer de dépens, le recourant n’obtenant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