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ZD19.046340 vom 25. August 2020</w:t>
      </w:r>
    </w:p>
    <w:p>
      <w:r>
        <w:t>VD Tribunal cantonal, 2020-08-25, FR</w:t>
      </w:r>
    </w:p>
    <w:p>
      <w:r>
        <w:rPr>
          <w:b/>
        </w:rPr>
        <w:t xml:space="preserve">Quelle: </w:t>
      </w:r>
      <w:r>
        <w:t>https://mcp.opencaselaw.ch/entscheid/vd_gerichte_ZD19.046340</w:t>
      </w:r>
    </w:p>
    <w:p>
      <w:r>
        <w:t>FR: VD_GERICHTE ZD19.046340 du 25 août 2020</w:t>
      </w:r>
    </w:p>
    <w:p>
      <w:r>
        <w:t>IT: VD_GERICHTE ZD19.046340 del 25 agosto 2020</w:t>
      </w:r>
    </w:p>
    <w:p>
      <w:pPr>
        <w:pStyle w:val="Heading2"/>
      </w:pPr>
      <w:r>
        <w:t>Erwägungen</w:t>
      </w:r>
    </w:p>
    <w:p>
      <w:r>
        <w:rPr>
          <w:b/>
        </w:rPr>
        <w:t>E. 8</w:t>
      </w:r>
    </w:p>
    <w:p>
      <w:r>
        <w:t>a) En conclusion, le recours, mal fondé, doit être rejeté et la décision litigieuse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w:t>
      </w:r>
    </w:p>
    <w:p>
      <w:r>
        <w:t>- 19 - 19 décembre 2008 ; RS 272], applicable par renvoi de l'art. 18 al. 5 LPA- VD). En l'espèce, compte tenu de l'ampleur de la procédure, les frais de justice sont fixés à 400 fr. et devraient être mis à la charge du recourant, qui succombe. Toutefois, dès lors que ce dernier est au bénéfice de l'assistance judiciaire, ces frais sont laissés provisoirement à la charge de l'Etat. Il n'y a pour le surplus pas lieu d'allouer de dépens, le recourant n'obtenant pas gain de cause (art. 55 al. 1 LPA-VD et 61 let. g LPGA). Le recourant bénéficie en outre, au titre de l'assistance judiciaire, de la commission d'office d'un avocat en la personne de Me Karim Hichri (art. 118 al. 1 let. c CPC, applicable par renvoi de l'art. 18 al. 5 LPA-VD). Ce dernier ayant renoncé à déposer une liste de ses opérations, la Cour de céans statue en équité et fixe l’indemnité d’office à 1'000 fr., débours et TVA compris.</w:t>
      </w:r>
    </w:p>
    <w:p>
      <w:r>
        <w:rPr>
          <w:b/>
        </w:rPr>
        <w:t>E. 8.1</w:t>
      </w:r>
    </w:p>
    <w:p>
      <w:r>
        <w:t>Capacité de travail dans l’activité exercée jusqu’ici. - Combien d’heures de présence l’assuré(e) peut-il assumer dans l’activité exercée en dernier lieu ?</w:t>
      </w:r>
    </w:p>
    <w:p>
      <w:r>
        <w:t>- 8 - La capacité de travail a toujours été entière dans des activités telles qu’il a réalisé précédemment sauf durant la période où il a été traité pour sa maladie de Hodgkin. La question est du pouvoir et du vouloir, dans ce cas, nous pencherons plutôt pour le vouloir, chez un assuré sans grandes ambitions, apparemment satisfait de sa situation actuelle. - Sa performance est-elle également réduite durant ce temps de présence ? Dans l’affirmative, dans quelle mesure et pour quelles raisons ? Non. - A quel pourcentage évaluez-vous globalement la capacité de travail de l’assuré(e), par rapport à un emploi à 100 % ? 100%. - Comment cette capacité de travail évoluera-t-elle au fil du temps ? D’un point de vue objectif elle a toujours été entière. Subjectivement L.________ n’a aucune envie de reprendre une activité ni d’en chercher une.</w:t>
      </w:r>
    </w:p>
    <w:p>
      <w:r>
        <w:rPr>
          <w:b/>
        </w:rPr>
        <w:t>E. 8.2</w:t>
      </w:r>
    </w:p>
    <w:p>
      <w:r>
        <w:t>Capacité de travail dans une activité correspondant aux aptitudes de l’assuré(e) - Quelles devraient être les caractéristiques d’une activité adaptée de manière optimale au handicap de l’assuré(e) ? Activité simple où L.________ dispose d’une certaine autonomie, chauffeur de taxi, livreur, aide jardinier, autres. Dans les faits, aussi une petite conciergerie serait envisageable. - Quel serait le temps de présence maximal possible dans cette activité (en heures par jour) ? 100% - La performance de l’assuré(e) serait-elle également réduite durant ce temps de présence pour une activité de ce type ? Dans l’affirmative, dans quelle mesure et pour quelles raisons ? La performance de L.________ est non diminuée - A quel pourcentage évaluez-vous globalement la capacité de travail de l’assuré(e) dans une activité de ce type sur le marché ordinaire du travail, par rapport à un emploi à 100 % ? 100%</w:t>
      </w:r>
    </w:p>
    <w:p>
      <w:r>
        <w:t>- 9 - - Comment cette capacité de travail évoluera-t-elle au fil du temps ? Objectivement bonne, subjectivement l’assuré n’a pas de motivation.</w:t>
      </w:r>
    </w:p>
    <w:p>
      <w:r>
        <w:rPr>
          <w:b/>
        </w:rPr>
        <w:t>E. 8.3</w:t>
      </w:r>
    </w:p>
    <w:p>
      <w:r>
        <w:t>Mesures médicales et thérapies ayant un impact sur la capacité de travail. - D’après l’expert, la capacité de travail peut-elle encore être améliorée de façon sensible par des mesures médicales ? Non, aucune thérapie ne peut lui être imposée en l’absence de demande motivée en ce sens […] ». Par décision du 17 septembre 2019, confirmant un projet du 5 avril 2019, l’OAI a rejeté la demande de l’assuré, ce dernier bénéficiant d’une capacité de travail entière et exigible dans des activités telles qu’exercées dans le passé. B. Par acte du 18 octobre 2019, L.________, représenté par Me Karim Hichri, a recouru contre la décision précitée auprès de la Cour des assurances sociales du Tribunal cantonal, concluant à son annulation et à l’octroi d’une rente entière d’invalidité à partir du 1er juin 2015. A titre de mesure d’instruction, il requiert la mise en œuvre d’une expertise psychiatrique. Il sollicite également le bénéfice de l’assistance judiciaire. Sur le fond, il conteste pour l’essentiel la valeur probante de l’expertise effectuée par le Dr K.________, lequel conclut que le trouble de la personnalité n’est pas incapacitant et que l’assuré présente essentiellement un défaut de motivation. Il reproche notamment à l’expert de ne pas avoir discuté des avis des autres médecins, ni d’avoir sollicité l’expertise réalisée en 2012 dans le cadre de la mise en place de la curatelle. Par décision du 31 octobre 2019, la juge instructrice a accordé au recourant le bénéfice de l’assistance judiciaire avec effet au 18 octobre 2019, dans la mesure de l’exonération des avances et des frais judiciaires, ainsi que de l’assistance d’office d’un avocat en la personne de Me Karim Hichri.</w:t>
      </w:r>
    </w:p>
    <w:p>
      <w:r>
        <w:t>- 10 - Dans sa réponse du 28 novembre 2019, l’intimé a conclu au rejet du recours et à la confirmation de la décision litigieuse. Il a relevé que l’expertise en lien avec la curatelle n’avait pas été demandée, car elle ne renseignait généralement pas précisément sur des éléments pourtant déterminants pour l’examen du droit à la rente, en particulier la capacité de travail et les limitations fonctionnelles. Il a en outre fait valoir que l’expertise du Dr K.________ doit se voir reconnaître une pleine valeur probante. Répliquant le 3 janvier 2020, le recourant a confirmé ses conclusions et a requis la production du rapport d’expertise psychiatrique réalisée par la Justice de Paix du district d’E.________. Dans sa duplique du 27 janvier 2020, l’intimé a maintenu ses conclusions, ne s’opposant pas à la requête présentée par le recourant s’agissant de la production de l’expertise. Par courrier du 19 février 2020, la juge instructrice a imparti au recourant un délai pour produire le rapport d’expertise psychiatrique mise en œuvre par la Justice de paix dans le cadre de l’enquête pour l’institution d’une curatelle. Le 17 mars 2020, le recourant a produit le rapport d’expertise psychiatrique du 21 décembre 2012 de la Fondation Q.________, rédigé par les Drs V.________ et I.________. On en extrait ce qui suit : « Diagnostic(CIM10) : Probable trouble mixte de la personnalité (traits anti-sociaux et immatures) (F61) Probable trouble dépressif récurrent (F33). Discussion : Nous avons posé le diagnostic selon la classification internationale des maladies de l’OMS (CIM10) Sur la base de l’ensemble d’éléments cliniques et anamnestiques, nous considérons en effet que l’expertisé est un patient souffrant d’importants troubles psychiques évoluant de longue date, avec comme conséquence, une détérioration progressive de sa situation psycho-sociale.</w:t>
      </w:r>
    </w:p>
    <w:p>
      <w:r>
        <w:t>- 11 - L.________ souffre d’un probable trouble de la personnalité et d’un trouble dépressif récurrent, qui n’est cependant pas au premier plan actuellement. C’est néanmoins suite à son divorce dans les années 2000 que son état semble s’être péjoré avec par la suite la perte de son travail et la successive dépendance des services sociaux. L.________ décompense de manière aiguë dans le contexte d’un effondrement narcissique majeur, ayant ainsi comme facteur déclenchant la rupture de son mariage et la perte de l’emploi. Cet effondrement se manifeste par un sentiment d’échec global, engendrant des angoisses massives d’abandon et d’annihilation. Dès son enfance, L.________ a dû endurer des événements douloureux voire traumatiques sur le plan personnel et affectif avec d’une part une dépressivité récurrente du côté maternel dû à ses multiples troubles sur le plan somatique, et d’autre part un vécu de carence et d’abandon du côté paternel. Ces différents facteurs familiaux et contextuels ne lui ont pas permis de structurer une personnalité bien différenciée. Le diagnostic de trouble de la personnalité représente un mode rigide et mésadapté des perceptions et de la pensée à propos de soi-même et de l’environnement dans lequel il vit. La sévérité d’un trouble de la personnalité est suffisante pour porter atteinte au fonctionnement social et/ou professionnel d’une personne souffrant de ce type de pathologie. Dans le contexte interpersonnel, le sujet présentant un trouble de la personnalité se plaint essentiellement de son entourage qui le fait d’ailleurs souffrir, sans se remettre en question. L.________ en effet, bénéficie de longue date d’assistance qui lui est prodiguée par les services sociaux en particulier par son son assistante sociale qui doit s’inquiéter en permanence de son bien- être psychophysique et social et actuellement demande une mesure de soutien et de protection auprès de la justice, sans que l’intéressé ne se rende compte du bienfondé, la considérant plutôt comme intrusive. Conclusion : Malgré la gravité des troubles dont souffre l’expertisé, nous n’estimons pas nécessaire une mesure de placement à des fins d’assistance, qui dans ce contexte serait envisageable par des soins en ambulatoire. L.________ à notre avis ne pourrait adhérer ou honorer aux rendez-vous, mettant en échec le projet. On pourrait envisager un accompagnement progressif vers une thérapie, par le biais d’une équipe mobile de la fondation Q.________, constituée de personnes compétentes et qualifiées, capables d’instaurer un lien thérapeutique progressif. Enfin, nous considérons que l’institution d’une mesure de protection tutélaire, bien qu’apparaissant nécessaire, pourrait cependant être limitée à la gestion des affaires administratives en collaboration avec les services sociaux. L.________ semble bien gérer le revenu qu’il perçoit des services sociaux, mais peine seulement à ouvrir ses courriers et à collaborer au mieux avec les services sociaux. Cette difficulté est en lien probablement avec les réclamations récurrentes des services des poursuites.</w:t>
      </w:r>
    </w:p>
    <w:p>
      <w:r>
        <w:t>- 12 - Questionnaire en vue d’interdiction civile : 1. L’expertisé est-il atteint d’un trouble mental, de faiblesse d’esprit, d’alcoolisme ou d’une autre forme de toxicomanie ? Oui, l’expertisé souffre de troubles mixtes de la personnalité (traits anti-sociaux et immatures) (F61) et d’un trouble dépressif récurrent (F33). Nous n’avons pas constaté d’addiction à l’alcool ou d’autre substance nocive pour la santé. 2. S’agit-il d’une affection momentanée et curable dans un laps de temps plus ou moins court ou d’une maladie dont la durée ne peut être prévue ? Il s’agit des affections dont la durée ne peut être prévue. L’expertisé ne bénéficiant d’aucun suivi thérapeutique et médicamenteux, nous ne pouvons que supposer une évolution défavorable et durable. 3. Cette affection est-elle de nature à empêcher l’expertisé d’apprécier la portée de ses actes et de gérer ses affaires sans les compromettre ? Non, l’affection telle qu’elle se présente actuellement ne l’empêcherait pas d’apprécier la portée des actes, mais l’empêcherait de gérer au mieux ses affaires. 4. L’expertisé peut-il se passer d’une assistance ou d’une aide permanentes ? Au stade actuel, l’expertisé ne peut se passer d’une assistance ou d’une aide permanentes. L’aide permanente ne doit pas s’entendre comme une présence continue aux côtés de l’expertisé, mais de personnel compétent sur le lieu de vie de l’expertisé, soit un accompagnement spécifique et progressif visant une entrée en soins. A noter que l’expertisé bénéficie déjà d’une assistance et aide permanentes des services sociaux de [...]. 5. L’audition préalable de l’expertisé est-elle ou non admissible ? Si oui, l’expertisé est-il capable de comprendre la portée d’une éventuelle mesure ? Oui, l’audition de l’expertisé est admissible, mais il ne sera que partiellement capable de comprendre la portée d’une éventuelle mesure. 6. Remarques éventuelles Aucune (…) ». Le 14 mai 2020, l’intimé s’est déterminé sur l’expertise, renvoyant pour l’essentiel à un avis SMR du 5 mai 2020 et a confirmé ses conclusions.</w:t>
      </w:r>
    </w:p>
    <w:p>
      <w:r>
        <w:t>- 13 - Le 2 juin 2020, le recourant a relevé la différence des diagnostics posés par le Dr K.________ et les médecins de la Fondation Q.________, soutenant que le rapport d’expertise de 2012 mettait en évidence des troubles médicaux avérés.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w:t>
      </w:r>
    </w:p>
    <w:p>
      <w:r>
        <w:t>- 14 -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w:t>
      </w:r>
    </w:p>
    <w:p>
      <w:r>
        <w:t>- 15 -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d) S’agissant des rapports établis par les médecins traitants de l’assuré, le juge peut et doit tenir compte du fait que, selon l’expérience, le médecin traitant est généralement enclin, en cas de doute, à prendre parti pour son patient en raison de la relation de confiance qui l’unit à celui-ci. Ce constat ne libère cependant pas le tribunal de procéder à une appréciation complète des preuves et de prendre en considération les rapports produits par l'assuré, afin de voir s'ils sont de nature à éveiller des doutes sur la fiabilité et la validité des</w:t>
      </w:r>
    </w:p>
    <w:p>
      <w:r>
        <w:t>- 16 - constatations du médecin de l'assurance (ATF 125 V 351 consid. 3b/bb et cc ; TF 8C_796/2016 du 14 juin 2017 consid. 3.3). 5.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6. En l’espèce, l’intimé a mis en œuvre une expertise psychiatrique. Se fondant sur les conclusions de l’expert K.________, il a retenu que le recourant conservait une pleine capacité de travail, ce que l’intéressé conteste. a) Le Dr K.________, dans son rapport du 28 mars 2019, a décrit de manière claire le contexte médical et l’appréciation de la situation médicale. En se fondant sur une anamnèse détaillée et ses propres constatations, il a retenu que l’assuré présentait une dysthymie et une personnalité asociale et immature, soulignant que ces atteintes n’avaient toutefois aucune incidence sur la capacité de travail du recourant. L’expert a expliqué les différents éléments l’ayant amené à cette conclusion, laquelle est bien motivée et convaincante. Il a en particulier mis en évidence que ses diagnostics rejoignaient ceux du psychiatre traitant, mais que leurs conclusions divergeaient quant à l’appréciation de l’incapacité de travail. A cet égard, le Dr K.________ a relevé que les troubles dont souffrait l’intéressé de longue date étaient sans grandes incidences sur son fonctionnement quotidien et ne l’avaient jamais empêché de travailler, ce qui était particulièrement vrai s’agissant du trouble de personnalité. L’expert a en outre nié tout trouble dépressif</w:t>
      </w:r>
    </w:p>
    <w:p>
      <w:r>
        <w:t>- 17 - sévère ou anxieux, ce qui était confirmé par l’absence totale de suivi et de traitement psychiatriques. Il a souligné que l’assuré n’exprimait aucune souffrance, ni de plaintes véritables et mis en évidence l’absence de motivation à travailler du recourant, qui semblait se satisfaire de sa situation dénuée de responsabilité. En définitive, l’expertise du Dr K.________ remplit les critères jurisprudentiels pour se voir reconnaître une pleine valeur probante, de sorte qu’il y a lieu de se rallier à ses conclusions. b) Les autres rapports médicaux figurant au dossier ne sont pas de nature à remettre en cause ce qui précède. En particulier, le Dr U.________, dans son rapport du 9 décembre 2015, a posé les mêmes diagnostics que l’expert. Il n’explique en revanche pas pour quelles raisons il considère que ceux-ci empêcheraient le recourant de travailler, se contentant de mentionner à titre de restriction une absence totale de motivation et relevant que l’intéressé souhaitait uniquement qu’on le laisse tranquille. Se faisant, le psychiatre traitant, à l’instar du Dr H.________, justifie l’incapacité de travail du recourant par des motifs psychosociaux lesquels ne sont pas du ressort de l’assurance-invalidité (ATF 127 V 294 consid. 5a ; TF 9C_286/2015 du 12 janvier 2016 consid. 6.1). Quant au Dr C.________, il ne s’est pas prononcé sur la capacité de travail du recourant, se contentant de relever son incapacité à gérer ses affaires personnelles, ainsi que des horaires. L’expertise psychiatrique réalisée en 2012 par les médecins de la Fondation Q.________ ne permet pas non plus d’infirmer les conclusions posées par le Dr K.________. En effet, si les Drs V.________ et I.________ ont mis en évidence un probable trouble mixte de la personnalité et un probable trouble dépressif récurrent – considéré comme secondaire –, ils ne se sont aucunement déterminé sur la capacité de travail du recourant, ni sur ses limitations fonctionnelle. Cela s’explique par le but dans lequel l’expertise de 2012 a été mise en œuvre, soit la question de savoir si</w:t>
      </w:r>
    </w:p>
    <w:p>
      <w:r>
        <w:t>- 18 - l’instauration d’une mesure tutélaire se justifiait et si oui, laquelle. En tout état de cause, cette expertise permet de préciser les raisons pour lesquelles le recourant ne souhaite plus travailler – en raison de ses importantes dettes et du fait qu’il veut qu’on le laisse tranquille – et confirme une situation psychosociale difficile, soulignant au demeurant que les troubles de la personnalité existaient depuis le début de l’âge adulte, ce qui n’avait pas empêché l’intéressé de mener à bien une activité professionnelle durant plusieurs années. En définitive, les éléments au dossier ne permettent pas de remettre en question les conclusions de l’expert, auxquelles il y a lieu de se rallier. c) Au vu de ce qui précède, c’est à juste titre que l’intimé a retenu une capacité de travail entière dans une toute activité. 7. Les pièces au dossier permettent à la Cour de céans de statuer en connaissance de cause, sans qu’il n’y ait lieu de mettre en œuvre une expertise psychiatrique. La réquisition du recourant dans ce sens est dès lors rejetée, par appréciation anticipée des preuves (ATF 140 I 285 consid. 6.3.1 ; 130 II 425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