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ZD19.043797 vom 15. Juni 2020</w:t>
      </w:r>
    </w:p>
    <w:p>
      <w:r>
        <w:t>VD Tribunal cantonal, 2020-06-15, FR</w:t>
      </w:r>
    </w:p>
    <w:p>
      <w:r>
        <w:rPr>
          <w:b/>
        </w:rPr>
        <w:t xml:space="preserve">Quelle: </w:t>
      </w:r>
      <w:r>
        <w:t>https://mcp.opencaselaw.ch/entscheid/vd_gerichte_ZD19.043797</w:t>
      </w:r>
    </w:p>
    <w:p>
      <w:r>
        <w:t>FR: VD_GERICHTE ZD19.043797 du 15 juin 2020</w:t>
      </w:r>
    </w:p>
    <w:p>
      <w:r>
        <w:t>IT: VD_GERICHTE ZD19.043797 del 15 giugno 2020</w:t>
      </w:r>
    </w:p>
    <w:p>
      <w:pPr>
        <w:pStyle w:val="Heading2"/>
      </w:pPr>
      <w:r>
        <w:t>Erwägungen</w:t>
      </w:r>
    </w:p>
    <w:p>
      <w:r>
        <w:rPr>
          <w:b/>
        </w:rPr>
        <w:t>E. 1</w:t>
      </w:r>
    </w:p>
    <w:p>
      <w:r>
        <w:t>a) Les dispositions de la LPGA (loi fédérale du 6 octobre 2000 sur la partie générale du droit des assurances sociales ; RS 830.1) s’appliquent, sauf dérogation expresse, à l’assurance-invalidité (art. 1 al. 1 LAI [loi fédérale du 19 juin 1959 sur l’assurance-invalidité ; RS 831.20]). Selon l’art. 52 al. 1 LPGA, les décisions d’ordonnancement de la procédure ne peuvent pas être attaquées par voie d’opposition, si bien qu’elles sont directement attaquables par la voie du recours devant le tribunal des assurances compétent.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w:t>
      </w:r>
    </w:p>
    <w:p>
      <w:r>
        <w:t>- 6 - le recours ouvert contre la décision finale (art. 46 al. 1 let. a PA [loi fédérale du 20 décembre 1968 sur la procédure administrative ; RS 172.021] ; ATF 138 V 271 consid. 1.2.1 ; 137 V 210 consid. 3.4.2.7 ; 132 V 93 consid. 6.1). b) En l’espèce, la recourante peut se prévaloir d’un intérêt digne de protection à une décision immédiate, dans la mesure où elle conteste le choix des experts désignés pour l’expertise médicale pluridisciplinaire en demandant à ce que le mandat soit confié à des médecins « de rang universitaire » compte tenu de la complexité du dossier. Pour le reste, le recours a été interjeté en temps utile auprès du tribunal compétent (art. 93 let. a LPA-VD [loi cantonale vaudoise du 28 octobre 2008 sur la procédure administrative ; BLV 173.36]) et respecte pour le surplus les formalités prévues par la loi (art. 61 let. b LPGA), de sorte qu’il est recevable.</w:t>
      </w:r>
    </w:p>
    <w:p>
      <w:r>
        <w:rPr>
          <w:b/>
        </w:rPr>
        <w:t>E. 2</w:t>
      </w:r>
    </w:p>
    <w:p>
      <w:r>
        <w:t>a) Selon l’art. 43 al. 1 LPGA, l’assureur examine les demandes, prend d’office les mesures nécessaires et recueille les renseignements dont il a besoin. Il peut recourir aux services d’un expert indépendant pour élucider les faits (art. 44 al. 1 LPGA). 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(ATF 137 V 210 consid. 2.1.3 ; 144 V 258 consid. 2). b) Aux termes de l’art. 72bis RAI (règlement sur l’assurance- invalidité du 17 janvier 1961 ; RS 831.201), les expertises comprenant trois ou plus de trois disciplines médicales doivent se dérouler auprès d’un centre d’expertises médicales lié à l’office fédéral par une convention (al. 1). L’attribution du mandat d’expertise doit se faire de manière aléatoire (al. 2). Dans un premier temps, l’OAI communique le type d’expertise qu’il entend mettre en œuvre, les disciplines médicales prévues ainsi que le catalogue des questions qu’il entend soumettre aux experts. L’assuré peut</w:t>
      </w:r>
    </w:p>
    <w:p>
      <w:r>
        <w:t>- 7 - soulever des objections contre l’expertise et les disciplines médicales prévues et présenter des questions supplémentaires. Le mandat d’expertise est ensuite déposé sur la plateforme informatique SuisseMED@P, laquelle procède à l’attribution du mandat d’expertise pluridisciplinaire à l’un des centres d’expertises médicales agréés par l’Office Fédéral des Assurances Sociales (OFAS) selon le principe de l’assignation aléatoire. Une fois le mandat attribué par SuisseMED@P, l’OAI communique à l’assuré le nom du centre chargé de l’expertise et l’identité des experts. L’assuré peut alors formuler des objections de nature formelle ou matérielle à l’égard de l’un ou des expert(s) désigné(s) (ATF 139 V 349 consid. 5.2.2). Si l’OAI ne donne suite qu’en partie ou pas du tout aux objections de l’assuré, il rend une décision incidente sujette à recours auprès du tribunal cantonal des assurances ou du Tribunal administratif fédéral dans laquelle il indique les disciplines médicales prévues, le nom des experts désignés et les raisons pour lesquelles il n’a pas été tenu compte des objections soulevées (Jacques Olivier Piguet, in Dupont/Moser-Szeless [édit.], Loi sur la partie générale des assurances sociales, Commentaire romand, Bâle 2018, n. 28 ad art. 44 LPGA p. 555). c) L’assuré peut soulever des objections de nature formelle ou matérielle contre la mise en œuvre d’une expertise. Les motifs formels sont ceux prévus par la loi, tels que déduits des art. 36 al. 1 LPGA, 10 PA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dans un rapport d’amitié/d’inimitié particulier, etc. (cf. TF 8C_146/2016 du 9 août 2016 consid. 2.2).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w:t>
      </w:r>
    </w:p>
    <w:p>
      <w:r>
        <w:t>- 8 - octobre 2014 consid. 3.3.1 ; 9C_ 893/2009 du 22 décembre 2009 consid. 2.3.1). Il convient de relever que dans tous les cas, l’assuré doit immédiatement faire part de ses objections sans attendre de saisir le juge d’un recours au fond pour critiquer la neutralité des experts (TF 2C_1216/2013 du 27 mai 2014 consid. 6.4 ; 9C_643/2007 du 16 juin 2008 consid. 2.2).</w:t>
      </w:r>
    </w:p>
    <w:p>
      <w:r>
        <w:rPr>
          <w:b/>
        </w:rPr>
        <w:t>E. 3</w:t>
      </w:r>
    </w:p>
    <w:p>
      <w:r>
        <w:t>; TF 9C_140/2015 du 26 mai 2015 consid. 5.1). En l’occurrence, l’OAI n’avait donc aucune possibilité d’intervention dans le processus d’attribution du mandat au centre d’expertises médicales J.________ SA. Ainsi que le rappelle à juste titre l’intimé dans sa réponse du 19 décembre 2019, il n’est pas possible de récuser un centre d’expertises lié à l’OFAS par une convention ; seuls peuvent être récusés les médecins à titre individuel. Par ailleurs, le grief invoqué, à savoir la nécessité de confier le mandat d’expertise à des médecins « de rang universitaire » en raison de la complexité du dossier, n’est pas un motif formel de récusation. Il ne met en effet pas directement en cause l’impartialité des</w:t>
      </w:r>
    </w:p>
    <w:p>
      <w:r>
        <w:t>- 10 - experts désignés, mais porte plutôt sur la qualité du rapport que ceux-ci pourraient être amenés à rendre, respectivement sur la valeur probante que ce rapport pourrait revêtir (cf. consid. 2c supra). Cas échéant, un motif de récusation matériel devra être examiné au fond le moment venu. c) Compte tenu de l’absence de motif formel de récusation, la neutralité des experts désignés n’est pas critiquable.</w:t>
      </w:r>
    </w:p>
    <w:p>
      <w:r>
        <w:rPr>
          <w:b/>
        </w:rPr>
        <w:t>E. 4</w:t>
      </w:r>
    </w:p>
    <w:p>
      <w:r>
        <w:t>a) En définitive entièrement mal fondé, le recours doit être rejeté et la décision attaquée confirmée. b) Il y a lieu de déroger au principe de la gratuité (art. 61 let. a LPGA), la présente procédure étant onéreuse dès lors que la contestation au fond a trait à une contestation portant sur l’octroi ou le refus de prestations au sens de l’art. 69 al. 1bis LAI (ATF 133 V 441 ; TF 9C_905/2007 du 15 avril 2008).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