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ZD19.041677 vom 31. August 2020</w:t>
      </w:r>
    </w:p>
    <w:p>
      <w:r>
        <w:t>VD Tribunal cantonal, 2020-08-31, FR</w:t>
      </w:r>
    </w:p>
    <w:p>
      <w:r>
        <w:rPr>
          <w:b/>
        </w:rPr>
        <w:t xml:space="preserve">Quelle: </w:t>
      </w:r>
      <w:r>
        <w:t>https://mcp.opencaselaw.ch/entscheid/vd_gerichte_ZD19.041677</w:t>
      </w:r>
    </w:p>
    <w:p>
      <w:r>
        <w:t>FR: VD_GERICHTE ZD19.041677 du 31 août 2020</w:t>
      </w:r>
    </w:p>
    <w:p>
      <w:r>
        <w:t>IT: VD_GERICHTE ZD19.041677 del 31 agosto 2020</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w:t>
      </w:r>
    </w:p>
    <w:p>
      <w:r>
        <w:t>- 15 - c) En l’espèce, le recours formé le 20 septembre 2019 contre la décision de l’intimé du 21 août 2019 a été interjeté en temps utile. Il respecte les conditions de forme prévues par la loi, au sens notamment de l’art. 61 let. b LPGA, de sorte qu’il est recevable.</w:t>
      </w:r>
    </w:p>
    <w:p>
      <w:r>
        <w:rPr>
          <w:b/>
        </w:rPr>
        <w:t>E. 2</w:t>
      </w:r>
    </w:p>
    <w:p>
      <w:r>
        <w:t>Le litige porte sur la suppression, par voie de révision, du trois- quarts de rente d’invalidité octroyé à la recourante par décision du 22 avril 2013, singulièrement sur l’appréciation de sa capacité résiduelle de travail et sur la valeur probante des rapports d’examen rhumatologique du SMR du 13 juillet 2016 et d’expertise psychiatrique du Dr N.________ du 8 février 2018.</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Selon l’art. 28 al. 2 LAI, l’assuré a droit à une rente d'invalidité s’il est invalide à 40 % au moins ; la rente est échelonnée selon</w:t>
      </w:r>
    </w:p>
    <w:p>
      <w:r>
        <w:t>- 16 -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w:t>
      </w:r>
    </w:p>
    <w:p>
      <w:r>
        <w:rPr>
          <w:b/>
        </w:rPr>
        <w:t>E. 4</w:t>
      </w:r>
    </w:p>
    <w:p>
      <w:r>
        <w:t>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Un motif de révision existe également lorsque les circonstances (hypothétiques) qui justifiaient l'application d'une méthode d'évaluation de l'invalidité déterminée ont subi des changements importants ayant des répercussions sur le choix de la méthode d'évaluation (p. ex. changement de la méthode générale de la comparaison des revenus à la méthode spécifique de comparaison des champs d'activité ou à la méthode mixte ; ATF 133 V 545 consid. 6.1 et 7.1 ; 117 V 198 consid. 3b).</w:t>
      </w:r>
    </w:p>
    <w:p>
      <w:r>
        <w:t>- 17 - b) Selon l’art. 88a RAI (règlement du 17 janvier 1961 sur l’assurance-invalidité ; RS 831.201), si la capacité de gain ou la capacité d’accomplir les travaux habituels de l’assuré s’améliore ou que son impotence ou encore le besoin de soins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si ce changement a duré trois mois déjà, sans interruption notable et sans qu’une complication prochaine soit à craindre (al. 1). L’art. 88bis al. 2 prévoit que la diminution ou la suppression de la rente, de l’allocation pour impotent ou de la contribution d’assistance prend effet au plus tôt le premier jour du deuxième mois qui suit la notification de la décision (let. a).</w:t>
      </w:r>
    </w:p>
    <w:p>
      <w:r>
        <w:rPr>
          <w:b/>
        </w:rPr>
        <w:t>E. 5</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w:t>
      </w:r>
    </w:p>
    <w:p>
      <w:r>
        <w:t>- 18 -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6</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w:t>
      </w:r>
    </w:p>
    <w:p>
      <w:r>
        <w:t>- 19 -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reconnaissance de l'existence d'un trouble somatoforme douloureux suppose que le diagnostic émane d'un expert (psychiatre) selon les règles de l'art et s'appuie sur les critères d'un système de classification reconnu (ATF 141 V 281 consid. 2.1 et 2.1.1 ; 130 V 396 consid. 5.3 et 6). La phase diagnostique doit prendre en considération le fait qu'un diagnostic de trouble somatoforme présuppose un degré certain de gravité (ATF 141 V 281 consid. 2.2.1 : par exemple, pour un trouble somatoforme douloureux, il faut retrouver le degré de gravité inhérent à cette atteinte, autrement dit, selon la CIM-10, « une douleur persistante, intense, s’accompagnant d’un sentiment de détresse »). Le diagnostic doit en outre être mis en relation avec des limitations dans les fonctions de la vie quotidienne, à l’inverse par exemple d’un trouble dissociatif qui ne présente pas en lui-même de lien avec le degré de gravité. A ce stade, il faut inclure seulement les déficits fonctionnels qui résultent des éléments qui ont été déterminants pour diagnostiquer l’atteinte à la santé. Dans un second temps, cette limitation sera comparée aux exigences de la vie professionnelle et convertie en une éventuelle limitation de la capacité de travail à l’aide des critères du degré de gravité et de la cohérence (ATF 141 V 281 consid. 2.2.1). Dans le cadre des douleurs de nature somatoforme, la Haute Cour a souligné que l’analyse doit tenir compte des facteurs excluant la valeur invalidante de ces diagnostics. On conclura dès lors à l'absence d'une atteinte à la santé ouvrant le droit aux prestations d'assurance, si les limitations liées à l'exercice d'une activité résultent d'une exagération des symptômes ou d'une constellation semblable (ATF 141 V 281 consid. 2.2, 2.2.1 et 2.2.2). Plus clairement, s'il existe un motif d'exclusion, il n'est pas nécessaire de mener une procédure de preuve structurée selon les</w:t>
      </w:r>
    </w:p>
    <w:p>
      <w:r>
        <w:t>- 20 - indicateurs standards pertinents (TF 9C_173/2015 du 29 juin 2015 consid.4.3, avec la référence à l’ATF 141 V 281 consid. 2.2). Ainsi,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Il faut conclure à l'absence d'une atteinte à la santé ouvrant le droit aux prestations d'assurance lorsque la limitation de la capacité d'exécuter une tâche ou une action repose sur une exagération ou une manifestation analogue, et ce même si les caractéristiques d'un syndrome somatoforme douloureux persistant – ou un autre syndrome semblable – au sens de la CIM-10 sont réalisées (ATF 141 V 281 consid. 2.2.1 et 2.2.2 ; 140 V 193 consid. 3.3). En l’absence de facteurs d’exclusion, on peut considérer que l’on se trouve bien en présence d’un trouble psychosomatique susceptible potentiellement d’être invalidant et, pour trancher la question de la capacité de travail réellement exigible dans un tel contexte, il faut alors se référer à la nouvelle procédure d'établissement des faits structurée et sur la base d'une vision d'ensemble, à la lumière des circonstances du cas particulier et sans résultat prédéfini. c) Cas échéant, la capacité de travail réellement exigible doit être examinée en second lieu au moyen d’un catalogue d’indicateurs, appliqué en fonction des circonstances du cas particulier et répondant aux exigences spécifiques de celui-ci (ATF 141 V 281 consid. 4.1.1). d)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w:t>
      </w:r>
    </w:p>
    <w:p>
      <w:r>
        <w:t>- 21 -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- 22 - e)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w:t>
      </w:r>
    </w:p>
    <w:p>
      <w:r>
        <w:rPr>
          <w:b/>
        </w:rPr>
        <w:t>E. 7</w:t>
      </w:r>
    </w:p>
    <w:p>
      <w:r>
        <w:t>En l’espèce, il est admis que le statut de la recourante a changé depuis la décision d’octroi de trois-quarts de rente d’invalidité du 22 avril 2013. L’intimé a en effet retenu les allégations de celle-ci, selon lesquelles elle travaillerait désormais à plein temps, vu l’âge de ses enfants et les besoins financiers de la famille. On peut donc en déduire qu’un motif de révision au sens entendu par l’art. 17 LPGA est effectivement avéré in casu, ce qui justifie de réexaminer le droit de la recourante à une rente de l’assurance-invalidité (cf. consid. 4a supra).</w:t>
      </w:r>
    </w:p>
    <w:p>
      <w:r>
        <w:rPr>
          <w:b/>
        </w:rPr>
        <w:t>E. 8</w:t>
      </w:r>
    </w:p>
    <w:p>
      <w:r>
        <w:t>a) Demeure litigieuse la question de savoir si l’état de santé de la recourante s’est modifié de manière substantielle depuis la décision susmentionnée. Il est rappelé que le trois-quarts de rente d’invalidité a été servi sur la base des rapports communiqués à l’époque par les médecins traitants de la recourante, auxquels étaient joints les résultats des nombreuses investigations effectuées. Dans son rapport du 21 juillet 2010, le SMR avait pris en compte un syndrome douloureux chronique cervico-brachial droit d’origine complexe, une spondylarthropathie HLA-B27 positive axiale et périphérique et un épisode dépressif moyen à sévère. Il avait considéré</w:t>
      </w:r>
    </w:p>
    <w:p>
      <w:r>
        <w:t>- 23 - que la capacité de travail était nulle dans toutes activités depuis mars 2009. Les limitations fonctionnelles avaient trait au port de charges et aux travaux avec le membre supérieur droit. L’assurée souffrait également d’asthénie, de difficultés de concentration et de fatigabilité. b) Dans le contexte de la procédure de révision initiée par l’intimé, la recourante a fait l’objet d’un examen clinique rhumatologique auprès du SMR. Retenant la disparition des signes d’activité de la spondylarthropathie, observée lors d’une consultation rhumatologique du</w:t>
      </w:r>
    </w:p>
    <w:p>
      <w:r>
        <w:rPr>
          <w:b/>
        </w:rPr>
        <w:t>E. 11</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(art. 49 al. 1 LPA-VD, applicable par renvoi des art. 91 et 99 LPA-VD). c) La recourante, qui obtient gain de cause en étant représentée, a droit à des dépens, dont le montant peut être arrêté à 1’500 fr. vu l’importance et la complexité de la cause. Cette indemnité de dépens sera portée à la charge de l’intimé (art. 61 let. g LPGA ; art. 55 LPA-VD, applicable par renvoi des art. 91 et 99 LPA-VD ; ATF 135 V 473).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