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ZD19.038751 vom 12. Mai 2020</w:t>
      </w:r>
    </w:p>
    <w:p>
      <w:r>
        <w:t>VD Tribunal cantonal, 2020-05-12, FR</w:t>
      </w:r>
    </w:p>
    <w:p>
      <w:r>
        <w:rPr>
          <w:b/>
        </w:rPr>
        <w:t xml:space="preserve">Quelle: </w:t>
      </w:r>
      <w:r>
        <w:t>https://mcp.opencaselaw.ch/entscheid/vd_gerichte_ZD19.038751</w:t>
      </w:r>
    </w:p>
    <w:p>
      <w:r>
        <w:t>FR: VD_GERICHTE ZD19.038751 du 12 mai 2020</w:t>
      </w:r>
    </w:p>
    <w:p>
      <w:r>
        <w:t>IT: VD_GERICHTE ZD19.038751 del 12 maggio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w:t>
      </w:r>
    </w:p>
    <w:p>
      <w:r>
        <w:t>- 11 - autres conditions formelles prévues par la loi (art. 61 let. b LPGA notamment), le recours est recevable.</w:t>
      </w:r>
    </w:p>
    <w:p>
      <w:r>
        <w:rPr>
          <w:b/>
        </w:rPr>
        <w:t>E. 2</w:t>
      </w:r>
    </w:p>
    <w:p>
      <w:r>
        <w:t>Le litige a pour objet le droit de la recourante à une rente de l'assurance-invalidité.</w:t>
      </w:r>
    </w:p>
    <w:p>
      <w:r>
        <w:rPr>
          <w:b/>
        </w:rPr>
        <w:t>E. 3</w:t>
      </w:r>
    </w:p>
    <w:p>
      <w:r>
        <w:t>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c) Un taux d’invalidité de 40% au moins donne droit à un quart de rente, un taux d’invalidité de 50% au moins donne droit à une demie rente, un taux d’invalidité de 60% au moins donne droit à trois-quarts de rente et un taux d’invalidité de 70% au moins donne droit à une rente entière (art. 28 al. 2 LAI).</w:t>
      </w:r>
    </w:p>
    <w:p>
      <w:r>
        <w:t>- 12 -</w:t>
      </w:r>
    </w:p>
    <w:p>
      <w:r>
        <w:rPr>
          <w:b/>
        </w:rPr>
        <w:t>E. 4</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w:t>
      </w:r>
    </w:p>
    <w:p>
      <w:r>
        <w:rPr>
          <w:b/>
        </w:rPr>
        <w:t>E. 4.1</w:t>
      </w:r>
    </w:p>
    <w:p>
      <w:r>
        <w:t>;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w:t>
      </w:r>
    </w:p>
    <w:p>
      <w:r>
        <w:t>- 13 -</w:t>
      </w:r>
    </w:p>
    <w:p>
      <w:r>
        <w:rPr>
          <w:b/>
        </w:rPr>
        <w:t>E. 5</w:t>
      </w:r>
    </w:p>
    <w:p>
      <w:r>
        <w:t>La recourante soutient que, contrairement aux conclusions de l’intimé, elle n’avait pas retrouvé une pleine capacité de travail à l’été 2017, sa capacité de travail n’ayant pas dépassé 30% dès cette période. Afin de déterminer avec précision l’évolution de la capacité de travail de la recourante, l’intimé a demandé l’établissement d’une expertise en médecine interne générale, en rhumatologie et en psychiatrie, confiée au [...]. Dans leur rapport d’expertise du 21 mars 2018, les Drs Q.________, F.________ et W.________ ont retenu une pleine capacité de travail dès l’été 2017, avec une diminution de rendement de 20%. a) Sur le plan de la médecine interne, le Dr Q.________ a relevé que les ressources de la recourante étaient préservées. Les diarrhées de la recourante avaient tendance à diminuer et n’étaient présentes que deux à trois fois par jour, mais pas tous les jours. Elles n’engendraient ainsi pas de limitations fonctionnelles au sens strict. Cette problématique nécessitait cependant une activité avec des toilettes à proximité, la possibilité de s’y rendre rapidement et de se changer en cas de nécessité. Ces contraintes pouvaient ainsi être à l’origine d’une diminution de rendement de 20%. b) Sur le plan de la médecine physique et la réadaptation, le Dr F.________ a relevé que l’examen clinique ne permettait pas de retenir de limitation articulaire, soulignant par ailleurs la souplesse de la recourante au niveau des articulations périphériques et du rachis. Les douleurs existaient uniquement lors de mouvement extrêmes du rachis cervical, cette observation valant également au niveau du rachis lombaire. Pour le Dr F.________, il n’y avait pas de choc rotulien ni de déficit neurologique significatif. Du point du vue rhumatologique, les ressources de la recourante étaient également préservées. c) Sur le plan psychiatrique, le Dr W.________ a précisé, lors de son complément d’expertise du 21 juin 2018, que la capacité de travail de la recourante ne dépassait pas 20% entre le mois de janvier et le mois de juin 2017 en raison de la persistance des symptômes dépressifs et des crises d’angoisses. Si la recourante souffrait depuis une quinzaine</w:t>
      </w:r>
    </w:p>
    <w:p>
      <w:r>
        <w:t>- 14 - d’années d’humeur dépressive plutôt légère, mais chronique, sa symptomatologie s’était nettement améliorée depuis le mois de juillet 2017, menant à une capacité de travail pleine et entière. Il relevait à ce propos les ressources globalement préservées de la recourante, au vu de ses activités quotidiennes et ses capacités relationnelles dans le cadre familial, intime et amical. d) En l’espèce, il n’y a pas de raisons de s’écarter des conclusions de l’expertise réalisée par le [...], selon lesquelles la recourante dispose, depuis le mois de janvier 2017 d’une capacité de travail de 20%, puis, depuis le mois de juillet 2017, d’une capacité de travail pleine et entière dans une activité adaptée à ses limitations fonctionnelles, moyennant une diminution de rendement de 20%. En effet, les conclusions rendues par les médecins du [...] résultent d'une analyse complète de la situation médicale et reposent sur une anamnèse exhaustive, contenant une description précise des plaintes de la recourante et de son quotidien. Les conclusions médicales sont d’ailleurs claires et détaillées. On relève au surplus que le volet psychiatrique de l’expertise n’est pas critiquable au regard de la jurisprudence développée par le Tribunal fédéral en matière d’appréciation de la capacité de travail d’une personne souffrant d’une atteinte à la santé psychique (ATF 141 V 281 ; 143 V 409 ; 143 V 418), la question de l’existence de ressources ayant été examinée en détail par le Dr W.________. e) Cette appréciation ne saurait être remise en cause par les avis médicaux produits par la recourante en cours de procédure. En premier lieu, le rapport médical établi le 12 novembre 2018 par le docteur N.________ met avant tout en évidence la présence d’une fragilité sur le plan de l’humeur, de l’anxiété et la survenance à l’avenir de possibles phases de décompensation. Il ne contient en revanche aucun élément propre à remettre en cause les éléments cliniques sur lesquels se sont fondés les experts du [...]. Si une péjoration de l’état de santé de la recourante ne peut être exclue à plus ou moins long terme, il n’y a pas lieu de la prendre en considération de façon anticipée dans le cadre de l’évaluation de la capacité de travail, ce d’autant qu’elle n’est ni prévisible</w:t>
      </w:r>
    </w:p>
    <w:p>
      <w:r>
        <w:t>- 15 - ni quantifiable (cf. TF 9C_600/2013 du 18 mars 2014 consid. 4.3.2). Quant au rapport médical établi le 5 août 2019 par la docteure V.________, elle souligne la nécessité pour la recourante de pouvoir accéder facilement à des toilettes à n’importe quel moment de la journée. En l’occurrence, ces éléments ont été pris en considération par le [...]. f) La recourante souligne ensuite la rareté des activités qui lui sont accessibles au vu de ses limitations fonctionnelles. Dans le cas d’espèce, les limitations fonctionnelles retenues à l’endroit de la recourante sont les suivantes : une vision monoculaire gauche congénitale qui n’est pas adaptée à une activité nécessitant une vision adéquate pour des travaux de précision, la présence de toilettes à proximité et facilement accessibles, une limitation du port de charges à 5 kilos et l’interdiction de la position accroupie ou à genoux. Contrairement à ce que soutient la recourante, ces limitations ne présentent pas de spécificités telles qu’elles rendraient illusoires l’exercice d’une activité professionnelle. En effet, le marché du travail offre un large éventail d’activités légères, dont on doit convenir qu’un certain nombre sont adaptées aux limitations de la recourante et accessibles sans aucune formation particulière. La recourante n’établit pas de manière convaincante en quoi des activités simples de montage, de vérification ou de contrôle ne seraient pas exigibles au regard des limitations retenues.</w:t>
      </w:r>
    </w:p>
    <w:p>
      <w:r>
        <w:rPr>
          <w:b/>
        </w:rPr>
        <w:t>E. 6</w:t>
      </w:r>
    </w:p>
    <w:p>
      <w:r>
        <w:t>Reste désormais à définir le degré d’invalidité de la recourante. a) L’assurance-invalidité a pour but d’atténuer les conséquences économiques de l’invalidité et accorde une importance primordiale à la diminution de la capacité de gain (art. 7 al. 1 LPGA ; voir également le Message du 24 octobre 1958 relatif à un projet de loi sur l’assurance-invalidité ainsi qu’à un projet de loi modifiant celle sur l’assurance-vieillesse et survivants, FF 1958 II 1185 ; ATF 137 V 334 consid. 5.2). L’invalidité est ainsi une notion avant tout économique plutôt que médicale ; ce sont les conséquences économiques objectives de l’incapacité fonctionnelle qu’il importe en principe d’évaluer. Ce constat a</w:t>
      </w:r>
    </w:p>
    <w:p>
      <w:r>
        <w:t>- 16 - pour corollaire que le taux d’invalidité ne se confond pas nécessairement avec le taux d’incapacité fonctionnelle établi par le médecin (voir ATF 110 V 273 consid. 4a et la référence). b)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29 consid. 1 p. 30). c) Pour fixer le revenu sans invalidité, il faut établir ce que la personne assurée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Ce n'est qu'en présence de circonstances particulières qu'il peut se justifier qu'on s'en écarte et qu'on recoure aux données statistiques résultant de l'Enquête suisse sur la structure des salaires éditée par l'Office fédéral de la statistique (ATF 134 V 322 consid. 4.1; voir également TFA B 80/01 du 17 octobre 2003 consid. 5.2.2 et les références et arrêt I 750/04 du 5 avril 2006 consid. 5.5). d) Selon la jurisprudence, le revenu d'invalide doit être évalué avant tout en fonction de la situation professionnelle concrète de la</w:t>
      </w:r>
    </w:p>
    <w:p>
      <w:r>
        <w:t>- 17 - personne assurée.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publiée par l'Office fédéral de la statistique ou sur les données salariales résultant des descriptions de postes de travail établies par la CNA (ATF 129 V 472 consid. 4.2.1).</w:t>
      </w:r>
    </w:p>
    <w:p>
      <w:r>
        <w:rPr>
          <w:b/>
        </w:rPr>
        <w:t>E. 7</w:t>
      </w:r>
    </w:p>
    <w:p>
      <w:r>
        <w:t>a) Si, comme développé précédemment, un large éventail d’activités légères et adaptées aux limitations fonctionnelles de la recourante restent accessibles à l’intéressée, ce n’est pas le cas de son activité habituelle d’aide de cuisine. Cette profession ne saurait être qualifiée d’adaptée. Elle comporte en effet un port de charge pouvant régulièrement dépasser les cinq kilos (cf. rapport du 28 août 2017 de la Dre D.________) et, concernant une activité en cuisine, on peut douter de l’existence d’un accès rapide et aisé à des toilettes. Ainsi, afin de déterminer le degré d’invalidité, il y a lieu d’appliquer la méthode ordinaire de comparaison des revenus (décrite au considérant 6b) et non de procéder à une comparaison en pour-cent. En effet, cette méthode est applicable uniquement si l’assuré dispose encore d’une capacité de travail dans son activité habituelle, ce qui n’est manifestement pas le cas en l’espèce. b) Concernant le revenu sans invalidité, l’assurée était engagée en tant qu’employée polyvalente au sein du restaurant l’ [...], à [...]. Au vu de l’extrait de son compte individuel AVS, elle a réalisé en 2013 un salaire annuel de 40'298 fr. Etant donné que la recourante s’est trouvé à deux reprises en incapacité de travail prolongée durant l’année 2014, il se justifie de retenir le salaire réalisé en 2013 en tant que revenu sans invalidité. c) Concernant le revenu d’invalide, il sied de recourir aux salaires statistiques tels qu’ils ressortent de l’Enquête suisse sur la</w:t>
      </w:r>
    </w:p>
    <w:p>
      <w:r>
        <w:t>- 18 - structure des salaires (ESS), la recourante n’ayant repris aucune activité lucrative après la survenance de l’atteinte à la santé. aa) Concernant la période entre le 14 décembre 2014 et le 1er janvier 2017, le préjudice économique est total en raison d’une incapacité de travail complète. Le degré d’invalidité est ainsi de 100%, ouvrant le droit à une rente entière d’invalidité. bb) Pour la période allant du 1er janvier 2017 au 1er juillet 2017, il convient de se référer au salaire auquel peuvent prétendre les femmes effectuant des activités simples (niveau de qualification 1) dans le secteur privé, soit 4'363 fr. par mois en 2016 (Enquête suisse sur la structure des salaires 2016, TA1). Après adaptation de ces montants à l'horaire usuel dans les entreprises en 2016 (41,7 heures; Indicateurs du marché du travail 2019 ; TA2.1) et à l’évolution des salaires selon l’indice des salaires nominaux pour les femmes de l’année 2017 (+ 0,4 % ; Indice des salaires nominaux 1993-2018), on obtient un montant de 54'799 fr. 45. Compte tenu d’une capacité résiduelle de travail de 20 % et d’un abattement supplémentaire sur le salaire statistique de 10% afin de tenir compte de l’âge de la recourante et des contraintes liées à ses problèmes gastro- entérologiques (ATF 126 V 75 consid. 5b/aa-cc), il convient de fixer le revenu d’invalide à 9’864 fr. La comparaison d'un revenu sans invalidité – indexé à 2017 (+ 1 % en 2014 ; + 0,5 % en 2015 ; + 0,8 % en 2016 et + 0,4 % en 2017; Indice des salaires nominaux 1993-2018) – de 41'397 fr. avec un revenu d'invalide de 9’864 fr aboutit à un degré d'invalidité de 76 %, taux ouvrant le droit à une rente entière d’invalidité. cc) Pour la période postérieure au 1er juillet 2017, il convient également de se référer au salaire auquel peuvent prétendre les femmes effectuant des activités simples (niveau de qualification 1) dans le secteur privé, soit 4'363 fr, en effectuant les adaptations nécessaires concernant l’horaire usuel en entreprise et l’évolution des salaires (cf. supra consid 7c/bb). Compte tenu d’une baisse de rendement de 20 % et d’un abattement supplémentaire sur le salaire statistique de 10%, on obtient ainsi un revenu annuel de 39’456 fr. Comparé au revenu sans invalidité de</w:t>
      </w:r>
    </w:p>
    <w:p>
      <w:r>
        <w:t>- 19 - 41'397 fr., on aboutit à un degré d’invalidité de 5 %, insuffisant pour justifier le droit à une rente d’invalidité.</w:t>
      </w:r>
    </w:p>
    <w:p>
      <w:r>
        <w:rPr>
          <w:b/>
        </w:rPr>
        <w:t>E. 8</w:t>
      </w:r>
    </w:p>
    <w:p>
      <w:r>
        <w:t>Sur le vu de ce qui précède, le recours doit être rejeté, la recourante ayant droit à une rente entière d’invalidité du 1er décembre 2015 au 30 septembre 2017, dite rente étant supprimée au 1er octobre 2017 (art. 88a al. 2 RAI [règlement sur l’assurance-invalidité ; RS 831.201]). La décision attaquée doit par conséquent être confirmée.</w:t>
      </w:r>
    </w:p>
    <w:p>
      <w:r>
        <w:rPr>
          <w:b/>
        </w:rPr>
        <w:t>E. 9</w:t>
      </w:r>
    </w:p>
    <w:p>
      <w:r>
        <w:t>a) Par décision du 30 septembre 2019, la recourante a été mise au bénéfice de l'assistance judiciaire à compter du 30 août 2019 et a obtenu à ce titre l'exonération du paiement d'avances et de frais judicaires ainsi que la commission d'un avocat d'office en la personne de Me Florence Bourqui (art. 118 al. 1 CPC [code fédéral de procédure civile du 19 décembre 2008 ; RS 272], applicable par renvoi de l'art. 18 al. 5 LPA- VD).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Toutefois, dès lors qu’elle a obtenu, au titre de l’assistance judiciaire, l’exonération des frais de justice, ces frais sont laissés provisoirement à la charge de l’Etat (art. 122 al. 1 let. b et 123 CPC [code fédéral de procédure civile du 19 décembre 2008 ; RS 272], applicable par renvoi de l’art. 18 al. 5 LPA-VD). c) Conformément à l'art. 2 al. 1 RAJ (règlement vaudois sur l'assistance judiciaire en matière civile du 7 décembre 2010 ; RSV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w:t>
      </w:r>
    </w:p>
    <w:p>
      <w:r>
        <w:t>- 20 - procès. En l’espèce, l’indemnité est fixée à 2’000 fr., débours et TVA compris, compte tenu de la difficulté de la cause et des opérations nécessaires pour la conduite du procès. d) La recourante est rendue attentive au fait qu’elle devra rembourser les frais judiciaires et l’indemnité du conseil d’office dès qu’elle sera en mesure de le faire (art. 123 al. 1 CPC [code fédéral de procédure civile du 19 décembre 2008 ; RSV 272], applicable par renvoi de l’art. 18 al. 5 LPA-VD). Il incombera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