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ZD19.037098 vom 11. Juni 2020</w:t>
      </w:r>
    </w:p>
    <w:p>
      <w:r>
        <w:t>VD Tribunal cantonal, 2020-06-11, FR</w:t>
      </w:r>
    </w:p>
    <w:p>
      <w:r>
        <w:rPr>
          <w:b/>
        </w:rPr>
        <w:t xml:space="preserve">Quelle: </w:t>
      </w:r>
      <w:r>
        <w:t>https://mcp.opencaselaw.ch/entscheid/vd_gerichte_ZD19.037098</w:t>
      </w:r>
    </w:p>
    <w:p>
      <w:r>
        <w:t>FR: VD_GERICHTE ZD19.037098 du 11 juin 2020</w:t>
      </w:r>
    </w:p>
    <w:p>
      <w:r>
        <w:t>IT: VD_GERICHTE ZD19.037098 del 11 giugno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la suppression, par la voie de la révision, du droit de la recourante à une allocation pour impotent de degré moyen et son remplacement par une allocation pour impotent de degré faible. Il n’est en l’occurrence pas contesté que la recourante nécessite un accompagnement pour faire face aux nécessités de la vie. Est litigieuse la question de savoir si la recourante nécessite également une aide pour un ou plusieurs actes ordinaires de la vie.</w:t>
      </w:r>
    </w:p>
    <w:p>
      <w:r>
        <w:rPr>
          <w:b/>
        </w:rPr>
        <w:t>E. 3</w:t>
      </w:r>
    </w:p>
    <w:p>
      <w:r>
        <w:t>a) En vertu de l'art. 17 al. 2 LPGA, toute prestation durable accordée en vertu d’une décision entrée en force est, d’office ou sur demande, révisée pour l’avenir, à savoir augmentée ou réduite en conséquence, ou encore supprimée, si les circonstances dont dépendait son octroi changent notablement. Lorsqu'une demande de révision est déposée, celle-ci doit établir de façon plausible que l'invalidité, l'impotence ou l'étendue du besoin de soins ou du besoin d'aide découlant de l'invalidité de l'assuré s'est modifiée de manière à influencer ses droits (art. 87 al. 2 RAI [règlement du 17 janvier 1961 sur l'assurance-invalidité ; RS 831.201]).</w:t>
      </w:r>
    </w:p>
    <w:p>
      <w:r>
        <w:t>- 10 - b)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(art. 88a al. 1 RAI par renvoi de l’art. 35 al. 2 RAI).</w:t>
      </w:r>
    </w:p>
    <w:p>
      <w:r>
        <w:rPr>
          <w:b/>
        </w:rPr>
        <w:t>E. 4</w:t>
      </w:r>
    </w:p>
    <w:p>
      <w:r>
        <w:t>a) En vertu de l'art. 42 al. 1 LAI, les assurés impotents qui ont leur domicile et leur résidence habituelle en Suisse ont droit à une allocation pour impotent. b) Aux termes de l'art. 9 LPGA, est réputée impotente toute personne qui, en raison d'une atteinte à sa santé, a besoin de façon permanente de l'aide d'autrui ou d'une surveillance personnelle pour accomplir des actes élémentaires de la vie quotidienne. Est aussi considérée comme impotente la personne vivant chez elle qui, en raison d'une atteinte à sa santé, a durablement besoin d'un accompagnement lui permettant de faire face aux nécessités de la vie (art. 42 al. 3 LAI et 38 RAI). c) La loi distingue trois degrés d'impotence : grave, moyen ou faible (art. 42 al. 2 LAI).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 (a) d'une aide régulière et importante d'autrui pour accomplir la plupart des actes ordinaires de la vie ; (b) d'une aide régulière et importante d'autrui pour accomplir au moins deux actes ordinaires de la vie et nécessite, en outre, une surveillance personnelle permanente; ou (c) d'une aide régulière et importante d'autrui pour</w:t>
      </w:r>
    </w:p>
    <w:p>
      <w:r>
        <w:t>- 11 - accomplir au moins deux actes ordinaires de la vie et nécessite, en outre, un accompagnement durable pour faire face aux nécessités de la vie au sens de l'art. 38 RAI (art. 37 al. 2 RAI). Enfin, l'impotence est faible si l'assuré, même avec des moyens auxiliaires, a besoin, notamment : (a) de façon régulière et importante, de l'aide d'autrui pour accomplir au moins deux actes ordinaires de la vie ; (b) d'une surveillance personnelle permanente; ou (e) d'un accompagnement durable pour faire face aux nécessités de la vie au sens de l'art. 38 RAI (art. 37 al. 3 RAI). d) Selon une jurisprudence constante (ATF 127 V 94 consid. 3c ; 125 V 297 consid. 4a et les références), ainsi que selon les chiffres 8010 et suivants de la Circulaire sur l’invalidité et l’impotence dans l’assurance-invalidité (CIIAI), édictée par l’Office fédéral des assurances sociales (OFAS), les actes élémentaires de la vie quotidienne comprennent les six actes ordinaires suivants : -se vêtir et se dévêtir ; -se lever, s'asseoir et se coucher ; -manger ; -faire sa toilette (soins du corps) ; -aller aux toilettes ; - se déplacer, à l'intérieur ou à l'extérieur, et établir des contacts. e) De manière générale, n’est pas réputé apte à l’accomplissement d’un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(TF 9C_633/2012 du 8 janvier 2013 consid. 3.4).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w:t>
      </w:r>
    </w:p>
    <w:p>
      <w:r>
        <w:t>- 12 - partielles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L'aide est considérée comme importante lorsque la personne assurée ne peut plus accomplir au moins une fonction partielle d’un acte ordinaire de la vie (par ex. « se laver » en ce qui concerne l’acte ordinaire « faire sa toilette » [ATF 107 V 136])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f)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Il n'est pas nécessaire que l'accompagnement pour faire face aux nécessités de la vie soit assuré par un personnel d'encadrement qualifié ou spécialement formé.</w:t>
      </w:r>
    </w:p>
    <w:p>
      <w:r>
        <w:t>- 13 -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9C_441/2012 du 31 août 2012 consid. 5.3.1 ; TF 9C_907/2011 du 21 mai 2012 consid. 2 et les références citées). L'accompagnement est régulier lorsqu'il est nécessaire en moyenne au moins deux heures par semaine sur une période de trois mois (ATF 133 V 450).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w:t>
      </w:r>
    </w:p>
    <w:p>
      <w:r>
        <w:rPr>
          <w:b/>
        </w:rPr>
        <w:t>E. 5</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w:t>
      </w:r>
    </w:p>
    <w:p>
      <w:r>
        <w:t>- 14 - des règles formelles, mais doit examiner de manière objective tous les moyens de preuve, quelle qu’en soit la provenance, puis décider si les documents à disposition permettent de porter un jugement valable sur le droit litigieux (cf. ATF 125 V 351 consid. 3 et 122 V 157 consid. 1c).</w:t>
      </w:r>
    </w:p>
    <w:p>
      <w:r>
        <w:rPr>
          <w:b/>
        </w:rPr>
        <w:t>E. 6</w:t>
      </w:r>
    </w:p>
    <w:p>
      <w:r>
        <w:t>Il convient d’examiner les trois actes litigieux, soit ceux de se vêtir, se dévêtir, de faire sa toilette et de se déplacer/entretenir des contacts sociaux, en particulier sous l’angle du besoin d’aide régulière et importante et de l’évolution des capacités de la recourante depuis le mois de décembre 2014. a) Concernant l’acte de se vêtir et se dévêtir, la situation s’est améliorée dans la mesure où la recourante ne nécessite désormais plus d’aide régulière et importante pour cet acte de la vie. En effet, et comme il ressort du rapport d’enquête à domicile du 30 octobre 2017, la recourante a certes besoin qu’on lui rappelle régulièrement de veiller à sa tenue, mais que cette aide n’est pas apportée tous les jours. La situation diffère ainsi passablement par rapport à 2014, où un contrôle quotidien était nécessaire, comme constaté lors du rapport d’enquête à domicile du 23 octobre 2014. De plus, d’après le bilan pédagogique établi le 8 juin 2018 par la Fondation de [...], la recourante sait s’habiller en fonction des activités proposées, mais doit être attentive à bien fermer les boutons ou braguettes, à rentrer les poches de ses pantalons ou encore à l’état de propreté de ses habits ; il lui arrive encore fréquemment que sa braguette soit ouverte, que son port de pantalon laisse apparaître sa culotte ou que sa veste ne soit mise qu’à moitié. Au vu de la nature de l’aide apportée et de la fréquence de celle-ci, qui ne saurait ainsi être considérée comme quotidienne, l’office intimé n’a pas violé le droit fédéral en incluant l’aide apportée à ce titre à la recourante dans l’accompagnement pour faire face aux nécessités de la vie. b) Concernant l’acte de faire sa toilette, la situation s’est également améliorée. La recourante ne nécessite désormais plus une aide régulière et importante pour cet acte de la vie. En 2014, l’enquêtrice constatait que la recourante n’était pas capable de se coiffer de manière</w:t>
      </w:r>
    </w:p>
    <w:p>
      <w:r>
        <w:t>- 15 - autonome et qu’une aide était nécessaire lors de la douche, notamment afin de se laver les cheveux. Un contrôle était également nécessaire afin de contrôler si toutes les parties du corps avaient été lavées correctement. Le rapport d’enquête à domicile du 30 octobre 2017 indique au contraire que la recourante est autonome dans sa toilette, même si celle-ci peut parfois être négligée. Le rapport de la Fondation de [...] relève que, malgré une coupe de cheveux parfois « étrange », la recourante a une bonne hygiène, une attention particulière devant cependant être apportée en période de menstruation. Au vu de la nature de l’aide apportée et de la fréquence de celle-ci, une injonction suffit la plupart du temps pour que l'assurée corrige son hygiène. L’office intimé n’a pas violé le droit fédéral en incluant l’aide apportée à ce titre à la recourante dans l’accompagnement pour faire face aux nécessités de la vie. c) Concernant pour finir l’acte de se déplacer et d’entretenir des contacts sociaux, une amélioration doit également être constatée, la recourante ne nécessitant plus une aide régulière et importante pour cet acte de la vie. L’intéressée a passablement gagné en indépendance, devenant autonome dans ses déplacements, comme le relève le rapport de la Fondation de [...]. En effet, la recourante n’a besoin d’être accompagnée que lors de trajets qui lui sont inconnus. Dans la mesure où ce besoin n’est pas quotidien, il ne saurait être pris en compte à titre de limitation dans un acte ordinaire de la vie. Au vu de la nature de l’aide apportée et de la fréquence de celle-ci, l’office intimé n’a pas violé le droit fédéral en incluant l’aide apportée à ce titre à la recourante dans l’accompagnement pour faire face aux nécessités de la vie. d) Au vu de ce qui précède, la recourante n’a pas besoin, en sus d’un accompagnement pour faire face aux nécessités de la vie, de façon régulière et importante de l’aide d’autrui pour accomplir un ou plusieurs actes ordinaires de la vie, si bien qu’elle ne peut prétendre qu’à une allocation pour impotent de degré faible.</w:t>
      </w:r>
    </w:p>
    <w:p>
      <w:r>
        <w:t>- 16 -</w:t>
      </w:r>
    </w:p>
    <w:p>
      <w:r>
        <w:rPr>
          <w:b/>
        </w:rPr>
        <w:t>E. 7</w:t>
      </w:r>
    </w:p>
    <w:p>
      <w:r>
        <w:t>a) En définitive,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En l’espèce, au vu de la nature et de la complexité du litige, les frais judiciaires, mis à la charge de la recourante, sont arrêtés à 400 francs. c) La recourante, qui n’obtient pas gain de cause,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