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ZD19.031414 vom 3. September 2019</w:t>
      </w:r>
    </w:p>
    <w:p>
      <w:r>
        <w:t>VD Tribunal cantonal, 2019-09-03, FR</w:t>
      </w:r>
    </w:p>
    <w:p>
      <w:r>
        <w:rPr>
          <w:b/>
        </w:rPr>
        <w:t xml:space="preserve">Quelle: </w:t>
      </w:r>
      <w:r>
        <w:t>https://mcp.opencaselaw.ch/entscheid/vd_gerichte_ZD19.031414</w:t>
      </w:r>
    </w:p>
    <w:p>
      <w:r>
        <w:t>FR: VD_GERICHTE ZD19.031414 du 3 septembre 2019</w:t>
      </w:r>
    </w:p>
    <w:p>
      <w:r>
        <w:t>IT: VD_GERICHTE ZD19.031414 del 3 settembre 2019</w:t>
      </w:r>
    </w:p>
    <w:p>
      <w:pPr>
        <w:pStyle w:val="Heading2"/>
      </w:pPr>
      <w:r>
        <w:t>Erwägungen</w:t>
      </w:r>
    </w:p>
    <w:p>
      <w:r>
        <w:rPr>
          <w:b/>
        </w:rPr>
        <w:t>E. 1</w:t>
      </w:r>
    </w:p>
    <w:p>
      <w:r>
        <w:t>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w:t>
      </w:r>
    </w:p>
    <w:p>
      <w:r>
        <w:t>- 3 - et art. 69 al. 1 let. a LAI), dans les trente jours suivant leur notification (art. 40 al. 1 et 60 al. 1 LPGA).</w:t>
      </w:r>
    </w:p>
    <w:p>
      <w:r>
        <w:rPr>
          <w:b/>
        </w:rPr>
        <w:t>E. 2</w:t>
      </w:r>
    </w:p>
    <w:p>
      <w:r>
        <w:t>Le litige porte sur le caractère tardif ou non du recours formé le 12 juillet 2019 contre la décision du 11 avril 2019. A cet égard, le recourant se prévaut d’une notification irrégulière de la décision du 11 avril 2019. Il soutient que l’office intimé aurait dû notifier cette décision à la mandataire qu’il a constituée, au lieu de la lui remettre personnellement. Il en déduit que la décision qui lui a été directement notifiée est dépourvue d’effet juridique, et que le délai de recours n’a commencé à courir qu’à réception de la décision du 11 avril 2019 notifiée à sa mandataire, soit à compter du 13 juin 2019.</w:t>
      </w:r>
    </w:p>
    <w:p>
      <w:r>
        <w:rPr>
          <w:b/>
        </w:rPr>
        <w:t>E. 3</w:t>
      </w:r>
    </w:p>
    <w:p>
      <w:r>
        <w:t>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p. 182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3ème édition 2015, n° 24 ad art. 37 LPGA). La notification irrégulière d'une décision ne doit entraîner aucun préjudice pour les parties (art. 49 al. 3, 3ème phrase, LPGA et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w:t>
      </w:r>
    </w:p>
    <w:p>
      <w:r>
        <w:t>- 4 - induite en erreur par l'irrégularité de la notification et a, de ce fait, subi un préjudice. Il convient à cet égard de s'en tenir aux règles de la bonne foi qui imposent une limite à l'invocation du vice de forme (ATF 122 I 97 consid. 3a/aa p. 99 ; 111 V 149 consid. 4c p. 150 et les références citées ; TF C 196/00 du 10 mai 2001 consid. 3a et les références citées, in DTA 2002 p. 65). Cela signifie notamment qu'une décision, fût-elle notifiée de manière irrégulière, peut entrer en force si elle n'est pas déférée au juge dans un délai raisonnable (TF I 982/06 du 17 juillet 2007, citant SJ 2000 I p. 118 consid. 4). Le Tribunal fédéral des assurances a eu l'occasion de préciser dans quel délai une partie est tenue d'attaquer une décision lorsque celle- 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 C 168/00 du 13 février 2001 consid. 3c, résumé in RSAS 2002 p. 509 ; TF C 196/00 précité consid. 3a). Cette pratique a été confirmée, à la lumière de la CEDH (Convention de sauvegarde des droits de l’homme et des libertés fondamentales du 4 novembre 1950 ; RS 0.101) et de la LPGA (TF 9C_85/2011 du 17 janvier 2012 consid. 6.2, 6.3 et 6.8).</w:t>
      </w:r>
    </w:p>
    <w:p>
      <w:r>
        <w:rPr>
          <w:b/>
        </w:rPr>
        <w:t>E. 4</w:t>
      </w:r>
    </w:p>
    <w:p>
      <w:r>
        <w:t>En l’occurrence, le recourant a, dans la partie « recevabilité » de son recours du 12 juillet 2019, indiqué que la décision lui avait été notifiée directement. Dans ses déterminations du 30 juillet 2019, il semble remettre en question l’envoi de la décision du 11 avril 2019, quand il se prévaut du fait que la seule présence au dossier de la copie d’une lettre n’autorise pas à conclure à un degré de vraisemblance prépondérante que cette lettre a été effectivement envoyée par son expéditeur et reçue par son destinataire. Or en pareilles circonstances, il y a lieu – selon la jurisprudence – d’accorder la préférence aux premières déclarations de l'assuré, données alors qu'il en ignorait peut-être les conséquences</w:t>
      </w:r>
    </w:p>
    <w:p>
      <w:r>
        <w:t>- 5 - juridiques, les explications nouvelles pouvant être, consciemment ou non, le fruit de réflexions ultérieures (voir ATF 142 V 590 consid. 5.2 p. 594 s.; 121 V 45 consid. 2a p. 47; TF 8C_238/2018 du 22 octobre 2018 consid. 6). En application de cette règle de preuve, et dans la mesure où le recourant indique dans son recours que la décision lui a été notifiée directement, on le tiendra pour établi. Certes, la notification de la décision de l’office intimé directement au recourant, représenté par une avocate, est irrégulière. Toutefois cette notification irrégulière n’est pas susceptible d’entraîner la nullité de la décision. En effet, conformément à la jurisprudence fédérale, l'assuré aurait dû faire preuve de la diligence requise et informer sa représentante de l'existence de cette décision dans un délai de 30 jours (TF 9C_741/2012 du 12 décembre 2012 consid. 2). L'assuré n'a vraisemblablement transmis l'information à sa représentante qu’au début du mois de juin 2019, puisque celle-ci s’est adressée le 5 juin 2019 à l’OAI afin qu’il lui fasse parvenir la décision du 11 avril 2019 « dans les meilleurs délais » (cf. pièce 11 du recours). Or la représentante de l’assuré aurait dû contester sans tarder la décision du 11 avril 2019, plutôt que de considérer que le délai de recours de trente jours courait depuis l’envoi de l’OAI du 11 juin 2019. Quant au fait que les communications postérieures au 14 octobre 2018 ont été adressées à sa mandataire, il ne modifiait pas le devoir de diligence de l’assuré ; cette affirmation est au demeurant contredite par les pièces au dossier, dans la mesure où le courrier du 7 février 2019 de l’OAI faisant partie intégrante de la décision à intervenir et annonçant prochainement une décision sujette à recours a été adressé en copie à l’assuré. Le recourant devait dès lors s’attendre à ce qu’une décision relative à sa demande de prestations soit rendue à relativement brève échéance. A cela s’ajoute que le recourant a perçu le versement de la somme de 59'389 fr. dans les dix jours qui ont suivi la décision du 11 avril 2019. On peut ainsi supposer que ce versement n’est pas passé inaperçu, et que l’assuré aurait dû chercher à en comprendre la provenance et la justification, et en informer sa mandataire dans un délai de trente jours. Conformément aux règles de la bonne foi, il ne pouvait pas simplement</w:t>
      </w:r>
    </w:p>
    <w:p>
      <w:r>
        <w:t>- 6 - ignorer la décision et ne rien entreprendre pour la contester (TF 9C_85/2011 du 17 janvier 2012 consid. 6.2).</w:t>
      </w:r>
    </w:p>
    <w:p>
      <w:r>
        <w:rPr>
          <w:b/>
        </w:rPr>
        <w:t>E. 5</w:t>
      </w:r>
    </w:p>
    <w:p>
      <w:r>
        <w:t>Il suit de là que le recours déposé le 12 juillet 2019 contre la décision de l’OAI du 11 avril 2019 est tardif, et doit être déclaré irrecevable. En dérogation à l’art. 61 let. a LPGA, la procédure de recours en matière de contestations portant sur l’octroi ou le refus de prestations de l’assurance-invalidité est soumise à des frais judiciaires (art. 69 al. 1bis LAI [loi sur l’assurance-invalidité ; RS 831.20]). En l’occurrence, il peut être peut être renoncé, exceptionnellement, aux frais de justice (art. 50 LPA- VD). Il n’y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