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ZD19.030523 vom 26. Oktober 2020</w:t>
      </w:r>
    </w:p>
    <w:p>
      <w:r>
        <w:t>VD Tribunal cantonal, 2020-10-26, FR</w:t>
      </w:r>
    </w:p>
    <w:p>
      <w:r>
        <w:rPr>
          <w:b/>
        </w:rPr>
        <w:t xml:space="preserve">Quelle: </w:t>
      </w:r>
      <w:r>
        <w:t>https://mcp.opencaselaw.ch/entscheid/vd_gerichte_ZD19.030523</w:t>
      </w:r>
    </w:p>
    <w:p>
      <w:r>
        <w:t>FR: VD_GERICHTE ZD19.030523 du 26 octobre 2020</w:t>
      </w:r>
    </w:p>
    <w:p>
      <w:r>
        <w:t>IT: VD_GERICHTE ZD19.030523 del 26 ottobre 2020</w:t>
      </w:r>
    </w:p>
    <w:p>
      <w:pPr>
        <w:pStyle w:val="Heading2"/>
      </w:pPr>
      <w:r>
        <w:t>Erwägungen</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limitée à l’exonération des frais judiciaires, ces frais sont provisoirement à la charge de l’Etat.</w:t>
      </w:r>
    </w:p>
    <w:p>
      <w:r>
        <w:t>- 31 - c) N’obtenant pas gain de cause, le recourant, bien qu’assisté d’un mandataire qualifié, n’a pas droit à des dépens (art. 61 let. g LPGA). d) Le recourant est rendu attentif au fait qu’il devra rembourser les frais judiciaires dès qu’il sera en mesure de le faire (art. 123 al. 1 CPC [Code de procédure civile du 19 décembre 2008 ; RS 272] ; art. 18 al. 5 LPA-VD). Il incombera au Service juridique et législatif de fixer les modalités de remboursement (art. 5 RAJ [règlement sur l’assistance judiciaire en matière civile du 7 décembre 2010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