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ZD19.028192 vom 17. Dezember 2019</w:t>
      </w:r>
    </w:p>
    <w:p>
      <w:r>
        <w:t>VD Tribunal cantonal, 2019-12-17, FR</w:t>
      </w:r>
    </w:p>
    <w:p>
      <w:r>
        <w:rPr>
          <w:b/>
        </w:rPr>
        <w:t xml:space="preserve">Quelle: </w:t>
      </w:r>
      <w:r>
        <w:t>https://mcp.opencaselaw.ch/entscheid/vd_gerichte_ZD19.028192</w:t>
      </w:r>
    </w:p>
    <w:p>
      <w:r>
        <w:t>FR: VD_GERICHTE ZD19.028192 du 17 décembre 2019</w:t>
      </w:r>
    </w:p>
    <w:p>
      <w:r>
        <w:t>IT: VD_GERICHTE ZD19.028192 del 17 dicembre 2019</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w:t>
      </w:r>
    </w:p>
    <w:p>
      <w:r>
        <w:t>- 15 - (TF U 571/06 du 29 mai 2007 consid. 4.2, in SVR 2007 UV n° 33 p. 111 ; Ueli Kieser, ATSG-Kommentar, 2ème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c) En l’espèce, compte tenu des divergences entre les résultats de l’observation professionnelle et des conclusions du SMR, un complément d’instruction s’impose pour se prononcer sur la capacité de travail effective de la recourante (cf. jurisprudence citée sous consid. 4c supra). Cette mesure incombe à l’intimé dans le cadre de son devoir d’instruction, conformément à la jurisprudence mentionnée ci-dessus. Il s’agit donc de renvoyer la cause à l’intimé pour mise en œuvre d’un complément sous forme d’un examen ou d’une expertise (rhumatologique ou orthopédique), après actualisation des pièces médicales versées au dossier, afin de clarifier le taux de capacité de travail que la recourante est susceptible de mettre à profit à partir du 1er juin 2018. 10. 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w:t>
      </w:r>
    </w:p>
    <w:p>
      <w:r>
        <w:t>- 16 - charge liée à la procédure, indépendamment de la valeur litigieuse, et doit se situer entre 200 et 1'000 fr. (art. 69 al. 1bis LAI). En l’espèce, compte tenu de l’ampleur de la procédure, les frais de justice doivent être arrêtés à 400 fr. et mis à la charge de l’intimé (art. 49 al. 1 LPA-VD, applicable par renvoi des art. 91 et 99 LPA-VD). c) La recourante, qui obtient gain de cause en étant représentée par un mandataire professionnel, a droit à des dépens, dont le montant peut être arrêté à 1'500 fr. vu l’importance et la complexité de la cause. Cette indemnité de dépens sera portée à la charge de l’intimé (art. 61 let. g LPGA ; art. 55 LPA-VD, applicable par renvoi des art. 91 et 99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