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ZD19.027245 vom 26. August 2019</w:t>
      </w:r>
    </w:p>
    <w:p>
      <w:r>
        <w:t>VD Tribunal cantonal, 2019-08-26, FR</w:t>
      </w:r>
    </w:p>
    <w:p>
      <w:r>
        <w:rPr>
          <w:b/>
        </w:rPr>
        <w:t xml:space="preserve">Quelle: </w:t>
      </w:r>
      <w:r>
        <w:t>https://mcp.opencaselaw.ch/entscheid/vd_gerichte_ZD19.027245</w:t>
      </w:r>
    </w:p>
    <w:p>
      <w:r>
        <w:t>FR: VD_GERICHTE ZD19.027245 du 26 août 2019</w:t>
      </w:r>
    </w:p>
    <w:p>
      <w:r>
        <w:t>IT: VD_GERICHTE ZD19.027245 del 26 agosto 2019</w:t>
      </w:r>
    </w:p>
    <w:p>
      <w:pPr>
        <w:pStyle w:val="Heading2"/>
      </w:pPr>
      <w:r>
        <w:t>Erwägungen</w:t>
      </w:r>
    </w:p>
    <w:p>
      <w:r>
        <w:rPr>
          <w:b/>
        </w:rPr>
        <w:t>E. 3</w:t>
      </w:r>
    </w:p>
    <w:p>
      <w:r>
        <w:t>a) En l’espèce, la demande d’assistance juridique porte sur la désignation d’office de Me Carré pour la procédure faisant suite à l’arrêt de renvoi du 13 juin 2016. Bien que l’arrêt en question invite l’intimé à compléter l’instruction par une expertise bidisciplinaire ou pluridisciplinaire, celui-ci a opté pour une expertise bidisciplinaire, ce qui nécessite déjà de vérifier que les garanties procédurales quant à la désignation des experts ont été respectées. L’intimé dispose ainsi d’un large pouvoir d’appréciation pour la suite de la procédure et la décision à rendre. En outre, indépendamment de l’instruction de l’état de fait sur le plan médical, la procédure présente certaines difficultés du fait de périodes d’incapacité de travail et de capacité de travail et, partant, d’octroi de différentes rentes échelonnées et limitées dans le temps. Cette procédure fait suite à une demande de prestations déposée au mois de mars 2012, soit il y a plus de sept ans, ce qui témoigne également du fait qu’elle n’est pas aussi simple que l’intimé veut bien l’admettre. Ces</w:t>
      </w:r>
    </w:p>
    <w:p>
      <w:r>
        <w:t>- 12 - difficultés pourraient être encore renforcées par le trouble dépressif mentionné par le Dr P.________. Dans ces circonstances, l’assistance d’un tiers paraît nécessaire pour permettre à l’assurée de défendre valablement ses intérêts en procédure. Au vu de la désignation d’office de Me Carré pour la procédure judiciaire de recours, il convient de privilégier la poursuite de son mandat d’office plutôt que de renvoyer l’assurée à consulter un nouveau mandataire, qui devrait reprendre l’étude du dossier à zéro. b) Au vu de ce qui précède, il convient de constater que l’assistance de Me Carré est nécessaire au sens de l’art. 37 al. 4 LPGA, de renvoyer la cause à l’intimé pour qu’il statue sur le droit à l’assistance juridique au regard des autres conditions posées à ce droit (indigence) et de la date à partir de laquelle l’assistance juridique est allouée et, cas échéant, qu’il désigne d’office Me Carré.</w:t>
      </w:r>
    </w:p>
    <w:p>
      <w:r>
        <w:rPr>
          <w:b/>
        </w:rPr>
        <w:t>E. 4</w:t>
      </w:r>
    </w:p>
    <w:p>
      <w:r>
        <w:t>a) Il n’y a pas lieu de percevoir de frais judiciaires, la procédure étant gratuite (art. 61 let. a LPGA). b) Obtenant gain de cause avec l’assistance d’un mandataire professionnel pour la défense de ses intérêts, la recourante peut prétendre à une indemnité de dépens à la charge de l’intimé (art. 61 let. g LPGA ; 55 al. 1 LPA-VD ; art. 10 et 11 TFJDA [tarif cantonal vaudois des frais judiciaires et des dépens en matière administrative du 28 avril 2015 ; BLV 173.36.5.1]). Compte tenu de l’ensemble des circonstances, il convient de l’arrêter à 2'000 fr. (débours et TVA compris). Cette indemnité couvre au demeurant la rémunération du conseil d’office, de sorte qu’il n’y a pas lieu de fixer précisément le montant de l’indemnité qui aurait dû lui être versée (art. 118 et 122 CPC [code fédéral de procédure civile du 19 décembre 2008 ; RS 272], applicables par renvoi de l’art. 18 al. 5 LPA- VD ; cf. aussi art. 4 al. 1 RAJ [règlement cantonal vaudois du 7 décembre 2010 sur l’assistance judiciaire en matière civile ; BLV 211.02.3]). Par ces motifs,</w:t>
      </w:r>
    </w:p>
    <w:p>
      <w:r>
        <w:t>- 13 - la Cour des assurances sociales p r o n o n c e : I. Le recours est admis. II. La décision rendue le 29 mai 2019 par l’Office de l’assurance- invalidité pour le canton de Vaud est annulée. III. La cause est renvoyée à l’Office de l’assurance-invalidité pour le canton de Vaud pour nouvelle décision dans le sens des considérants. IV. Il n’est pas perçu de frais de justice. V. L’Office de l’assurance-invalidité pour le canton de Vaud versera à M.________ une indemnité de 2'000 fr. (deux mille francs), débours et TVA compris, à titre de dépens. La présidente : La greffière : Du L'arrêt qui précède, dont la rédaction a été approuvée à huis clos, est notifié à : - Me Olivier Carré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- 14 -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