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ZD19.025566 vom 9. September 2019</w:t>
      </w:r>
    </w:p>
    <w:p>
      <w:r>
        <w:t>VD Tribunal cantonal, 2019-09-09, FR</w:t>
      </w:r>
    </w:p>
    <w:p>
      <w:r>
        <w:rPr>
          <w:b/>
        </w:rPr>
        <w:t xml:space="preserve">Quelle: </w:t>
      </w:r>
      <w:r>
        <w:t>https://mcp.opencaselaw.ch/entscheid/vd_gerichte_ZD19.025566</w:t>
      </w:r>
    </w:p>
    <w:p>
      <w:r>
        <w:t>FR: VD_GERICHTE ZD19.025566 du 9 septembre 2019</w:t>
      </w:r>
    </w:p>
    <w:p>
      <w:r>
        <w:t>IT: VD_GERICHTE ZD19.025566 del 9 settembre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b) La compétence de la Cour de céans pour juger du cas d’espèce est ainsi établie.</w:t>
      </w:r>
    </w:p>
    <w:p>
      <w:r>
        <w:rPr>
          <w:b/>
        </w:rPr>
        <w:t>E. 2</w:t>
      </w:r>
    </w:p>
    <w:p>
      <w:r>
        <w:t>Le litige porte sur la question de la recevabilité du recours, liée à l’existence d’un intérêt à recourir au regard de la problématique des droits de la recourante en matière de prévoyance professionnelle et, en</w:t>
      </w:r>
    </w:p>
    <w:p>
      <w:r>
        <w:t>- 4 - cas d’admission d’un tel intérêt, sur la date de début de l’incapacité de travail ayant conduit à la reconnaissance d’une invalidité totale par l’intimé.</w:t>
      </w:r>
    </w:p>
    <w:p>
      <w:r>
        <w:rPr>
          <w:b/>
        </w:rPr>
        <w:t>E. 3</w:t>
      </w:r>
    </w:p>
    <w:p>
      <w:r>
        <w:t>a) Selon l’art. 59 LPGA, quiconque est touché par une décision ou une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(ATF 130 V 196 consid. 3). b) Aux termes de l’art. 25 al. 2 PA (loi fédérale du 20 décembre 1968 sur la procédure administrative ; RS 172.021), une demande en constatation est recevable si le requérant prouve qu’il a un intérêt digne de protection. Selon la jurisprudence, une autorité ne peut rendre une décision de constatation, au sens de l’art.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Il s'ensuit que l'intérêt digne de protection requis fait défaut, en règle ordinaire, lorsque la partie peut obtenir en sa faveur un jugement condamnatoire; en ce sens, le droit d'obtenir une décision en constatation est subsidiaire (ATF 129 V 289 consid. 2.1 ; cf. jurisprudence genevoise ATAS/990/2018 du 25 octobre 2018 consid. 3b).</w:t>
      </w:r>
    </w:p>
    <w:p>
      <w:r>
        <w:t>- 5 - La notion d’intérêt digne de protection au sens de l’art. 25 al. 2 PA, en lien avec l’art. 5 al. 2 let. b PA, est déterminante pour l’interprétation de la notion d’intérêt digne d’être protégé figurant à l’art. 49 al. 2 LPGA qui prévoit que si le requérant rend vraisemblable un tel intérêt, l’assureur rend une décision en constatation (ATF 130 V 388 consid. 2.4 ; ATAS/990/2018 déjà cité consid. 4).</w:t>
      </w:r>
    </w:p>
    <w:p>
      <w:r>
        <w:rPr>
          <w:b/>
        </w:rPr>
        <w:t>E. 4</w:t>
      </w:r>
    </w:p>
    <w:p>
      <w:r>
        <w:t>Selon la jurisprudence, en principe, seul le dispositif d’une décision peut être attaqué par un recours et non ses motifs, car seul le dispositif acquiert force de chose jugée. La portée exacte de celui-ci se détermine à la lumière des motifs de l’arrêt (ATF 123 III 16 consid. 2a ; TF 8C_589/2016 du 26 avril 2017 consid. 3.2).</w:t>
      </w:r>
    </w:p>
    <w:p>
      <w:r>
        <w:rPr>
          <w:b/>
        </w:rPr>
        <w:t>E. 5</w:t>
      </w:r>
    </w:p>
    <w:p>
      <w:r>
        <w:t>En vertu de l’art. 29 al. 1 LAI, le droit à la rente prend naissance au plus tôt à l’échéance d’une période de six mois à compter de la date à laquelle l’assuré a fait valoir son droit aux prestations conformément à l’art. 29 al. 1 LPGA.</w:t>
      </w:r>
    </w:p>
    <w:p>
      <w:r>
        <w:rPr>
          <w:b/>
        </w:rPr>
        <w:t>E. 6</w:t>
      </w:r>
    </w:p>
    <w:p>
      <w:r>
        <w:t>L’art. 26 al. 1 LPP (loi fédérale du 25 juin 1982 sur la prévoyance professionnelle vieillesse, survivants et invalidité (RS 831.40) prévoit que les dispositions de la LAI s’appliquent par analogie à la naissance du droit aux prestations d’invalidité. Dès lors,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TFA B 49/05 du 23 juin 2007 consid. 4.2). Lorsque l'annonce pour obtenir des prestations de l'assurance- invalidité a été faite tardivement, il n'y a aucune raison, du point de vue de l'assurance-invalidité, d'examiner l'évolution de la capacité de travail au-delà de la période de douze mois précédant le dépôt de la demande.</w:t>
      </w:r>
    </w:p>
    <w:p>
      <w:r>
        <w:t>- 6 - Ainsi, pour ce qui est de la période antérieure, les constatations et autres appréciations des organes de l'assurance-invalidité n'ont a priori aucune force contraignante pour les organes de la prévoyance professionnelle (TF 9C_736/2013 du 7 avril 2014 consid. 3.2 et 9C_53/2012 du 18 février 2013 consid. 6.1). En matière de prévoyance plus étendue, il est loisible aux institutions de prévoyance, en vertu de l’autonomie que leur confère l’art. 49 al. 2 LPP, d’adopter une notion de l’invalidité différente que dans l’assurance-invalidité. C’est ainsi qu’elles peuvent accorder des prestations à des conditions moins strictes que dans l’assurance-invalidité. Si l’institution de prévoyance adopte une définition de l’invalidité qui ne concorde pas avec celle de l’assurance-invalidité, il lui appartient de statuer librement, selon ses propres règles, sans être liée par l’estimation de cette dernière (TF 9C_54/2008 du 9 octobre 2008 consid. 3.1).</w:t>
      </w:r>
    </w:p>
    <w:p>
      <w:r>
        <w:rPr>
          <w:b/>
        </w:rPr>
        <w:t>E. 7</w:t>
      </w:r>
    </w:p>
    <w:p>
      <w:r>
        <w:t>En l’espèce, il s’agit d’examiner l’intérêt à recourir de la recourante à l’aune de ses prétentions à l’encontre de l’institution de prévoyance. a) On relèvera tout d’abord que la décision de l’intimé fixant le début du droit à la rente au 1er mai 2016, soit six mois après le dépôt de la demande de prestations, est conforme à l’art. 29 al. 1 LAI, dès lors que la recourante ne conteste pas la date de dépôt de la demande retenu par l’intimé. Cet élément de la décision litigieuse peut ainsi être confirmé. Force est ensuite de constater que la recourante ne conteste pas les autres éléments de la décision entreprise. En particulier, elle ne critique ni le degré d’invalidité retenu, ni l’octroi d’une rente entière, ce qui paraît logique au vu de l’octroi en sa faveur des prestations maximales légales, à savoir une rente entière non limitée dans le temps. Le fait que les prestations maximales lui aient été accordées a pour conséquence que le dispositif de la décision ne pourrait pas être réformé in melius. Partant, l’admission du recours ne pourrait pas conférer un avantage à la recourante.</w:t>
      </w:r>
    </w:p>
    <w:p>
      <w:r>
        <w:t>- 7 - b) S’agissant de l’incidence de la décision de l’intimé en matière de prévoyance professionnelle, il y a lieu de se référer à la jurisprudence précitée (cf. consid. 6 supra). En effet, selon cette jurisprudence, en cas d’annonce tardive, comme c’est en l’occurrence le cas, les constatations de l’assurance-invalidité ne lient pas automatiquement l’institution de prévoyance, de sorte que ce seul motif ne suffit pas à conférer à la recourante un intérêt digne de protection pour recourir contre la décision litigieuse. Par ailleurs, l’institution de prévoyance n’est pas liée par l’évaluation de l’invalidité par les organes de l’assurance-invalidité lorsque ceux-ci ne lui notifie pas la décision de rente (ATF 129 V 73 consid. 4 ; TF B 9/07 du 27 novembre 2007 consid. 4.2). In casu, la caisse de pensions ne figure pas dans les destinataires de la décision accordant à la recourante une rente entière. c) En définitive, la recourante conteste la date de début de l’incapacité de travail, en mentionnant notamment les déboires qu’elle aurait eus avec la Dre H.________, laquelle a précisément attesté une incapacité de travail dès le 26 mai 2014, date déterminante pour les organes de l’assurance-invalidité s’agissant du point de départ du délai de douze mois (art. 28 al. 1 let. b LAI) avant l’octroi d’une rente. En ce sens, le recours tend à la constatation de la date de début de l’incapacité de travail ayant conduit à l’invalidité. Partant, il est irrecevable en raison du caractère subsidiaire que revêtent de telles conclusions lorsque le justiciable dispose d’une action condamnatoire. Or tel est le cas en l’espèce puisque la recourante a ou avait la possibilité de saisir l’autorité judiciaire d’une demande tendant au versement de prestations d’invalidité de la prévoyance professionnelle par son institution de prévoyance. Compte tenu de ces éléments, la Cour de céans ne peut que constater l’absence d’intérêt à recourir de la recourante.</w:t>
      </w:r>
    </w:p>
    <w:p>
      <w:r>
        <w:rPr>
          <w:b/>
        </w:rPr>
        <w:t>E. 8</w:t>
      </w:r>
    </w:p>
    <w:p>
      <w:r>
        <w:t>Le recours est donc irrecevable.</w:t>
      </w:r>
    </w:p>
    <w:p>
      <w:r>
        <w:t>- 8 - Bien que la procédure ne soit pas gratuite en matière d’assurance-invalidité (art. 69 al. 1bis LAI), il y a lieu en l’espèce de renoncer à la perception de frais judiciaires (art. 50 LPA-VD). Par ailleurs, la recourante, au demeurant non assistée d’un mandataire professionnel, n’a pas droit à des dépens, dès lors qu’elle n’obtient pas gain de cause (art. 61 let. g LPGA et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