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ZD19.025298 vom 28. Mai 2020</w:t>
      </w:r>
    </w:p>
    <w:p>
      <w:r>
        <w:t>VD Tribunal cantonal, 2020-05-28, FR</w:t>
      </w:r>
    </w:p>
    <w:p>
      <w:r>
        <w:rPr>
          <w:b/>
        </w:rPr>
        <w:t xml:space="preserve">Quelle: </w:t>
      </w:r>
      <w:r>
        <w:t>https://mcp.opencaselaw.ch/entscheid/vd_gerichte_ZD19.025298</w:t>
      </w:r>
    </w:p>
    <w:p>
      <w:r>
        <w:t>FR: VD_GERICHTE ZD19.025298 du 28 mai 2020</w:t>
      </w:r>
    </w:p>
    <w:p>
      <w:r>
        <w:t>IT: VD_GERICHTE ZD19.025298 del 28 maggio 2020</w:t>
      </w:r>
    </w:p>
    <w:p>
      <w:pPr>
        <w:pStyle w:val="Heading2"/>
      </w:pPr>
      <w:r>
        <w:t>Erwägungen</w:t>
      </w:r>
    </w:p>
    <w:p>
      <w:r>
        <w:rPr>
          <w:b/>
        </w:rPr>
        <w:t>E. 10</w:t>
      </w:r>
    </w:p>
    <w:p>
      <w:r>
        <w:t>février 2015, considérant que ce dernier présentait une capacité de travail totale dans toute activité. Le 29 janvier 2018, le Dr C.________ et Y.________ ont indiqué que l’assuré s’opposait au projet de décision susmentionné. Aux termes d’un rapport du 16 février 2018, le Dr C.________ et Y.________ ont contesté certains points du rapport d’expertise du 27 décembre 2017. Ils ont précisé que l’intéressé était suivi dans leur cabinet à raison de deux fois par mois. Cette fréquence bimensuelle avait été fixée compte tenu des symptômes d’anxiété observés chez l’assuré lors de ces séances. Ils ont en outre exprimé être surpris que le diagnostic d’anxiété n’ait pas été retenu, alors qu’il l’avait été par plusieurs médecins avant dite expertise. Ils ont ajouté que l’assureur maladie de l’intéressé avait accepté de prendre en charge un suivi spécialisé en traumatologie afin de travailler sur ses symptômes de claustrophobie. Ce suivi avait été mis en pause, car la thérapeute avait jugé l’assuré encore trop méfiant et</w:t>
      </w:r>
    </w:p>
    <w:p>
      <w:r>
        <w:t>- 16 - fragile pour en traiter. Le Dr C.________ et Y.________ ont relevé que l’intéressé décrivait encore des symptômes anxio-dépressifs, qui n’étaient pas mentionnés dans l’expertise, tels qu’un sommeil perturbé par des réveils fréquents et/ou des cauchemars, des maux de tête, de la tristesse, une attitude pessimiste à propos de la vie, ceci en plus des troubles de la mémoire, des difficultés de concentration, de l’impression « d’avoir la tête ailleurs ». L’assuré continuait à décrire des problèmes respiratoires qui perturbaient la qualité de son sommeil. Le Dr C.________ et Y.________ étaient enfin surpris du fait que l’examen clinique de l’expertise n’évoquait pas les symptômes psychotiques, comme des hallucinations auditives, l’intéressé entendant des voix féminines non-identifiées qui parlaient toutes en même temps. Il n’arrivait pas à déchiffrer leurs paroles, mais le bruit était perturbant et induisait des nausées. Le 2 mai 2018, l’assuré a confirmé contester le projet de décision du 8 janvier 2018. Le 15 juin 2018, la Dre Z.________, médecin praticien, a certifié que l’intéressé souffrait de façon quotidienne de douleurs aux deux mains ensuite de sa pathologie arthrosique. Aux termes d’un avis du 2 août 2018, le Dr D.________ a estimé que l’état psychique de l’assuré avait été examiné de façon complète et détaillée par l’expert-psychiatre et qu’il n’y avait pas d’éléments médicaux nouveaux permettant de s’écarter de ses conclusions, malgré une appréciation différente du psychiatre traitant. Par décision du 7 mai 2019, l’OAI a confirmé son projet de décision du 8 janvier 2018. C. Par acte du 5 juin 2019, U.________ a recouru auprès de la Cour des assurances sociales du Tribunal cantonal à l’encontre de la décision susmentionnée, en concluant, principalement, à sa réforme en ce sens qu’il est mis au bénéfice d’une rente invalidité et, subsidiairement, à son annulation et au renvoi du dossier à l’intimé pour mise en œuvre d’une</w:t>
      </w:r>
    </w:p>
    <w:p>
      <w:r>
        <w:t>- 17 - nouvelle expertise psychiatrique. En substance, il a fait valoir ne pas être en mesure de travailler depuis 2003 en raison d’une dépression, d’anxiété et de claustrophobie présentes depuis plusieurs années, ainsi que de problèmes d’arthrose aux deux mains qui lui procuraient des douleurs quotidiennes. Il considérait que la décision litigieuse était en contradiction avec les observations de son médecin psychiatre, se référant en particulier au rapport du 16 février 2018 du Dr C.________ et Y.________. Dans une décision du 6 juin 2019, la juge instructrice a accordé à l’intéressé le bénéfice de l’assistance judiciaire avec effet au 5 juin 2019, consistant en l’exonération d’avances et de frais judiciaires. Le 8 juillet 2019, l’intimé a répondu et considéré que le dossier ne permettait d’objectiver aucune nouvelle atteinte, se référant pour l’essentiel à un avis du 2 juillet 2019, par lequel le Dr D.________, médecin auprès du SMR, a indiqué que, sur le plan psychiatrique, il n’avait pas d’éléments médicaux nouveaux. Sur le plan physique, les rapports médicaux en cours d’établissement depuis mai 2018 ne lui avaient toujours pas été transmis, ne permettant ainsi pas d’objectiver une éventuelle nouvelle atteinte. Celle-ci pourrait le cas échéant être évaluée dans le cadre d’une nouvelle demande dès que les médecins traitants du recourant auraient été en mesure de l’objectiver. Aux termes d’un rapport du 3 septembre 2019, le Dr C.________ et Y.________ ont confirmé leur appréciation et détaillé les symptômes observés, expliquant notamment qu’ils observaient peu de progrès depuis leurs derniers rapports. L’état anxio-dépressif semblait avoir légèrement évolué. Par réplique du 13 septembre 2019, l’intéressé a précisé sa conclusion subsidiaire, en ce sens qu’une expertise judiciaire pluridisciplinaire soit mise en œuvre en tenant compte des observations sur le plan psychologique et de ses problèmes rhumatologiques et respiratoires. A l’appui de sa position, il a produit un rapport du 4 septembre 2019, par lequel le Dr Z.________ a certifié que le recourant</w:t>
      </w:r>
    </w:p>
    <w:p>
      <w:r>
        <w:t>- 18 - présentait des algies multiples l’invalidant au quotidien, en précisant ce qui suit (sic) : « Une radiographie des mains réalisée en février 2018 retrouve de l’arthrose correspondant aux douleurs développées les mois précédents par le patient. A ce jour, il présente régulièrement des douleurs d’horaires inflammatoire des deux mains, avec difficulté de réaliser des mouvements de dextérité fine. Je constate, que depuis 2017, une fragilité respiratoire, avec bronchites virales récidivantes l’hiver. Par ailleurs, on relève chez ce patient une asthénie chronique, en lien, à mon avis à son état psychique, ne retrouvant pas d’explication somatique à cette asthénie constante. Il est suivi par le Docteur C.________, psychiatre à [...], également à ce sujet. Lors des consultations, l’état de fatigue, et le manque d’élan vital, me semble être un obstacle à sa capacité de recherche d’emploi, mais également à la capacité de travailler. Il manifeste des difficultés de concentration, il me parait plus adapté de lui proposer des ateliers thérapeutiques dans un premier temps, afin d’évaluer sa capacité réelle de travail. » Aux termes d’une duplique du 3 octobre 2019, l’intimé a conclu au rejet du recours, en se référant pour l’essentiel à un avis du 25 septembre 2019, par lequel le Dr D.________ a indiqué que, sur le plan psychiatrique, il n’avait pas d’éléments médicaux nouveaux. Sur le plan physique, aucun document médical ultérieur à février 2018 ne lui avait été transmis. Les lésions modérées ne permettaient pas d’expliquer les conséquences fonctionnelles rapportées, ne correspondaient à aucun status clinique pathologique (déformation, signes inflammatoires, …) et ne nécessitaient pas de prise en charge ou de traitement spécialisés. Le cas échéant, une évolution arthrosique résistante aux traitements, notamment antalgiques, pourrait être évaluée dans le cadre d’une nouvelle demande. L’intimé a également produit le rapport du 2 février 2018 de radiographie des mains face et en oblique du 1er février 2018 du Dr E.________, spécialiste en radiologie. E n d r o i t : 1. a) La LPGA (loi fédérale du 6 octobre 2000 sur la partie générale du droit des assurances sociales ; RS 830.1) est, sauf dérogation</w:t>
      </w:r>
    </w:p>
    <w:p>
      <w:r>
        <w:t>- 19 -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droit du recourant à une rente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w:t>
      </w:r>
    </w:p>
    <w:p>
      <w:r>
        <w:t>- 20 -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w:t>
      </w:r>
    </w:p>
    <w:p>
      <w:r>
        <w:t>- 21 -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 4.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w:t>
      </w:r>
    </w:p>
    <w:p>
      <w:r>
        <w:t>- 22 -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w:t>
      </w:r>
    </w:p>
    <w:p>
      <w:r>
        <w:t>- 23 -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5.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w:t>
      </w:r>
    </w:p>
    <w:p>
      <w:r>
        <w:t>- 24 -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- 25 - 6. En l’espèce, l’intimé a rejeté la demande de prestations du recourant par la décision litigieuse du 7 mai 2019, au motif que celui-ci présentait une pleine capacité de travail dans toute activité. L’intéressé conteste cette appréciation. Il y a lieu de relever que l’intimé avait rendu une première décision le 27 octobre 2014, par laquelle il avait déjà rejeté une première demande de prestations pour la même raison. Partant, se pose la question de la péjoration du degré d’invalidité de l’intéressé depuis cette décision du 27 octobre 2014 (cf. consid. 3c supra), à savoir en particulier et notamment si celui-ci présente désormais une incapacité de travail (cf. art. 28 al. 1 LAI). a) Au plan somatique, force est de constater que les atteintes rapportées sont modérées, ainsi que l’a relevé le Dr D.________ du SMR (cf. avis du 3 octobre 2019). S’agissant des mains, le Dr E.________ a en effet décrit, sur radiographies, « des modifications arthrosiques modérées » (cf. rapport du 2 février 2018). Le Dr Z.________ n’a d’ailleurs pas indiqué que cette arthrose, à l’instar de la fragilité respiratoire mentionnée, pourrait entraîner une incapacité de travail pour le recourant dans son activité habituelle de technicien en stérilisation, ce qui paraît en l’état peu probable. Il s’est en effet contenté d’évoquer une difficulté à réaliser des mouvements de dextérité fine (cf. rapport du 13 septembre 2019). Quant aux autres atteintes indiquées par ce médecin, elles relèvent, ainsi qu’il l’a admis, de la sphère psychiatrique et non psychologique. Il convient dès lors de suivre l’avis du SMR du 3 octobre 2019 en ce sens que les atteintes somatiques modérées ne permettent pas de justifier les plaintes du recourant ou le fait qu’en découlerait une incapacité de travail. Si les douleurs arthrosiques devaient s’aggraver, résister à des traitements antalgiques et devenir incapacitantes, l’intéressé pourrait déposer une nouvelle demande de prestations. En</w:t>
      </w:r>
    </w:p>
    <w:p>
      <w:r>
        <w:t>- 26 - l’état, il est retenu qu’au plan physique, le recourant présente une pleine capacité de travail, notamment dans son activité habituelle. b/i) Au plan psychiatrique, le Dr X.________, spécialiste en psychiatrie, et A.________, psychologue, ont posé les diagnostics sans répercussion sur la capacité de travail de dysthymie et de traits de la personnalité émotionnellement labile de type impulsif, actuellement non décompensés (cf. rapport d’expertise du 27 décembre 2017). Le recourant présentait ainsi une capacité de travail pleine dans toute activité. Celui-ci conteste cependant la valeur probante de cette expertise. Il convient toutefois de relever que ledit rapport d’expertise n’apparaît en soi pas critiquable. Ce document porte sur 46 pages et les experts ont posé les diagnostics au terme d’un processus respectant les règles de l’art (cf. consid. 4b supra). La capacité de travail a en outre été examinée au moyen du catalogue d’indicateurs retenu par le Tribunal fédéral (cf. consid. 4c supra). En effet, le rapport d’expertise comprend un examen du degré de gravité fonctionnel de l’atteinte à la santé, avec notamment une prise en considération du caractère plus ou moins prononcé des éléments pertinents pour le diagnostic, du succès ou de l’échec du traitement et de l’effet des comorbidités. Le Dr X.________ et A.________ ont également procédé à un examen de la personnalité du recourant, de son contexte social et de la cohérence entre l’analyse du degré de gravité fonctionnel, d’une part, et la répercussion de l’atteinte dans les différents domaines de la vite et le traitement suivi, d’autre part. En outre, la lecture du rapport d’expertise du 27 décembre 2017 permet de constater que les points litigieux ont fait l’objet d’une étude circonstanciée, que ledit rapport se fonde sur des examens complets, qu’il prend en considération les plaintes exprimées par le recourant, qu’il a été établi en pleine connaissance du dossier (anamnèse), que la description du contexte médical et l’appréciation de la situation médicale sont claires et enfin que les conclusions sont bien motivées (cf. consid. 5 surpa). En l’état et intrinsèquement, une valeur probante ne saurait être déniée à ce rapport d’expertise.</w:t>
      </w:r>
    </w:p>
    <w:p>
      <w:r>
        <w:t>- 27 - ii) Les griefs du recourant quant à cette expertise correspondent à ceux formulés par le Dr C.________ et Y.________. Leur position ne saurait cependant remettre en cause ce qui précède. En effet, ils ont indiqué s’étonner de ne pas retrouver des symptômes anxio- dépressifs, psychotiques, ou encore claustrophobiques. Ils ont précisé être surpris que le diagnostic d’anxiété, qui ressortait de rapports de plusieurs médecins, n’ait pas été retenu. Or, à cet égard, il y a lieu de retenir que les éléments avancés par le Dr C.________ et Y.________ ont précisément été appréciés, cliniquement et sur dossier, par le Dr X.________ et A.________ et, cas échéant, n’ont pas été retenus. En définitive, le seul fait objectif que les experts semblent avoir mal apprécié est la fréquence de consultation par le recourant de son psychiatre traitant, soit une fois tous les deux mois retenu dans l’expertise et une fois toutes les deux semaines selon le Dr C.________ et Y.________. Ce point peut cependant demeurer indécis. En effet, cet élément ne saurait être considéré comme déterminant au sein de l’appréciation des experts, et partant susceptible de remettre en cause leurs conclusions. Ces dernières sont fondées sur une motivation détaillée et fournie. Au surplus, on relèvera qu’une consultation toutes les deux semaines ne constitue également pas un suivi intense propre à justifier les diagnostics retenus par le Dr C.________ et Y.________. c) En définitive, une pleine valeur probante doit être reconnue au rapport d’expertise psychiatrique, comme notamment à l’avis du 3 octobre 2019 du Dr D.________. Le recourant n’amène aucun élément objectif susceptible de jeter le doute sur les conclusions contenues dans ces rapports. Dès lors, l’intimé était légitimé à considérer que l’intéressé présentait une pleine capacité de travail et ainsi à refuser de lui allouer une rente d’invalidité. Par conséquent, aucun changement important des circonstances n’était propre à influencer son degré d’invalidité, et donc son droit à la rente, de sorte que la décision du 27 octobre 2014 ne devait effectivement pas être révisée (cf. consid. 3c supra).</w:t>
      </w:r>
    </w:p>
    <w:p>
      <w:r>
        <w:t>- 28 - 7. Dans sa réplique, l’intéressé a requis la mise en œuvre d’une expertise judiciaire en tenant compte des observations sur le plan psychologique et de ses problèmes rhumatologiques et respiratoires. Il convient de rejeter cette requête dès lors que les pièces au dossier permettent de statuer en connaissance de cause et que le document requis ne permettrait pas, selon toute vraisemblance, de poser d’autres constatations relatives à l’état de fait pertinent (appréciation anticipée des preuves ; ATF 130 II 425 consid. 2.1 ; 122 II 464 consid. 4a ; 122 III 219 consid. 3c ; 120 Ib 224 consid. 2b). 8.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Le recourant est rendu attentif au fait qu’il est tenu d’en rembourser le montant, dès qu’il sera en mesure de le faire (art. 122 al. 1 let. b et 123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en matière civile ; BLV 211.02.3]).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