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ZD19.023816 vom 20. August 2020</w:t>
      </w:r>
    </w:p>
    <w:p>
      <w:r>
        <w:t>VD Tribunal cantonal, 2020-08-20, FR</w:t>
      </w:r>
    </w:p>
    <w:p>
      <w:r>
        <w:rPr>
          <w:b/>
        </w:rPr>
        <w:t xml:space="preserve">Quelle: </w:t>
      </w:r>
      <w:r>
        <w:t>https://mcp.opencaselaw.ch/entscheid/vd_gerichte_ZD19.023816</w:t>
      </w:r>
    </w:p>
    <w:p>
      <w:r>
        <w:t>FR: VD_GERICHTE ZD19.023816 du 20 août 2020</w:t>
      </w:r>
    </w:p>
    <w:p>
      <w:r>
        <w:t>IT: VD_GERICHTE ZD19.023816 del 20 agosto 2020</w:t>
      </w:r>
    </w:p>
    <w:p>
      <w:pPr>
        <w:pStyle w:val="Heading2"/>
      </w:pPr>
      <w:r>
        <w:t>Erwägungen</w:t>
      </w:r>
    </w:p>
    <w:p>
      <w:r>
        <w:rPr>
          <w:b/>
        </w:rPr>
        <w:t>E. 1</w:t>
      </w:r>
    </w:p>
    <w:p>
      <w:r>
        <w:t>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w:t>
      </w:r>
    </w:p>
    <w:p>
      <w:r>
        <w:t>- 10 - c) En l’espèce, le recours formé contre la décision du 18 avril 2019 a été interjeté en temps utile. Il respecte par ailleurs les conditions de forme prévues par la loi, au sens notamment de l’art. 61 let. b LPGA, de sorte qu’il est recevable.</w:t>
      </w:r>
    </w:p>
    <w:p>
      <w:r>
        <w:rPr>
          <w:b/>
        </w:rPr>
        <w:t>E. 2</w:t>
      </w:r>
    </w:p>
    <w:p>
      <w:r>
        <w:t>Le litige a pour objet le droit du recourant à une rente de l'assurance-invalidité.</w:t>
      </w:r>
    </w:p>
    <w:p>
      <w:r>
        <w:rPr>
          <w:b/>
        </w:rPr>
        <w:t>E. 3</w:t>
      </w:r>
    </w:p>
    <w:p>
      <w:r>
        <w:t>Il convient en premier lieu d’examiner le grief formel soulevé par le recourant, selon lequel l’OAI n’aurait pas transmis l’ensemble des pièces sur lesquelles la décision attaquée était fondée.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w:t>
      </w:r>
    </w:p>
    <w:p>
      <w:r>
        <w:t>- 11 - décision à rendre (ATF 142 III 360 consid. 4.1.1 ; 141 V 557 consid. 3.2.1 ; 133 III 235 consid. 5.2). b) Selon la jurisprudence, la violation du droit d’être entendu peut être réparée lorsque la partie lésée a la possibilité de s’exprimer devant une autorité de recours jouissant d’un plein pouvoir d’examen (ATF 142 II 218 consid. 2.8.1 ; 137 I 195 consid. 2.3.2 ; 135 I 279 consid. 2.6.1).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les références citées). c) En l’espèce, la décision attaquée est motivée et indique les principaux éléments qui la fondent, conformément à l’art. 49 al. 3 LPGA. Elle ne reprend certes pas toutes les pièces au dossier mais indique les éléments de fait pertinents et le résultat de l’instruction. Sur le plan médical, elle contient la description des limitations fonctionnelles retenues et se prononce sur la capacité dans l’activité habituelle du recourant et dans une activité adaptée. Sur le plan économique ensuite, le raisonnement entrepris est correctement décrit, notamment le calcul effectué afin de retenir un degré d’invalidité de 20,43%. En outre, on constate effectivement que l’accès au dossier a été garanti en tout temps durant l’instruction, y compris concernant l’avis médical SMR du 15 avril 2019. d) Au vu de ce qui précède, le grief tiré de la violation du droit d’être entendu est rejeté.</w:t>
      </w:r>
    </w:p>
    <w:p>
      <w:r>
        <w:t>- 12 -</w:t>
      </w:r>
    </w:p>
    <w:p>
      <w:r>
        <w:rPr>
          <w:b/>
        </w:rPr>
        <w:t>E. 4</w:t>
      </w:r>
    </w:p>
    <w:p>
      <w:r>
        <w:t>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c) Un taux d’invalidité de 40% au moins donne droit à un quart de rente, un taux d’invalidité de 50% au moins donne droit à une demie rente, un taux d’invalidité de 60% au moins donne droit à trois-quarts de rente et un taux d’invalidité de 70% au moins donne droit à une rente entière (art. 28 al. 2 LAI).</w:t>
      </w:r>
    </w:p>
    <w:p>
      <w:r>
        <w:rPr>
          <w:b/>
        </w:rPr>
        <w:t>E. 5</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w:t>
      </w:r>
    </w:p>
    <w:p>
      <w:r>
        <w:t>- 13 -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w:t>
      </w:r>
    </w:p>
    <w:p>
      <w:r>
        <w:rPr>
          <w:b/>
        </w:rPr>
        <w:t>E. 6</w:t>
      </w:r>
    </w:p>
    <w:p>
      <w:r>
        <w:t>Le recourant conteste disposer d’une capacité de travail entière dans une activité adaptée, une telle capacité de travail devait être limitée à 50%. a) En l’espèce, la capacité de travail dans une activité adaptée a été fixée à l’occasion d’un rapport médical du 20 mai 2015 établi par les Drs D.________ et X.________ à la suite d’un séjour à la [...]. Ces médecins</w:t>
      </w:r>
    </w:p>
    <w:p>
      <w:r>
        <w:t>- 14 - ont retenu des thérapies physiques et fonctionnelles pour douleurs et limitations fonctionnelles de l’épaule gauche ainsi qu’une rupture itérative du sous-scapulaire gauche à la jonction myo-tendineuse (arthro-CT scan du 09.02.2015), une arthroscopie de l'épaule gauche le 20 janvier 2014 avec suture du tendon sous-scapulaire, ténodèse du long chef du biceps et mobilisation sous anesthésie pour une capsulite rétractile, une chute sur l'épaule gauche le 31 octobre 2013 avec rupture complète transfixiante du tendon sous-scapulaire avec subluxation antérieure du long chef du biceps, lésion fissuraire entre les sus- et sous-épineux, lésion partielle du pilier antérieur du sus-épineux (arthro-IRM du 20.11.2013), une arthrodèse de l’IPP du pouce droit en 2004, des troubles cognitifs légers de type MCI multi-domaine non-évolutifs et des lombalgies récurrentes. Les Drs D.________ et X.________ ont estimé que l’assuré était totalement incapable de travailler dans une activité de maçon, l’intéressé conservant dès le 6 mai 2015 une pleine capacité de travail dans une activité adaptée. Cette position a été confirmée respectivement par le Dr L.________, médecin d’arrondissement de l’assurance-accidents, à l’occasion de l’examen final réalisé le 18 août 2016, par la Dre N.________, également médecin d’arrondissement auprès de la CNA, le 5 juillet 2018 et par le SMR en date du 15 avril 2019. b) En l’occurrence, les conclusions du rapport d’évaluation réalisé par les médecins de la [...] peuvent être suivies. Il aborde de manière circonstanciée les différents points litigieux du cas d’espèce et se fonde sur un examen complet de la situation médicale du recourant, prenant en compte les plaintes de l’intéressé concernant les douleurs ressenties au niveau du membre supérieur gauche. Le recourant s’est soumis à une évaluation de ses capacités fonctionnelles. Le score réalisé, soit de 100 points, traduit l’appréciation de l’intéressé de pouvoir réaliser des activités un niveau d’effort sédentaire ou essentiellement assis. Des tests de charges ont également été effectués afin de déterminer avec précision l’étendue des limitations fonctionnelles du recourant. Les conclusions qui en résultent sont claires, détaillées et emportent conviction. Ainsi, et dans la mesure où l’atteinte à l’épaule gauche de</w:t>
      </w:r>
    </w:p>
    <w:p>
      <w:r>
        <w:t>- 15 - l’assuré n’est pas son épaule dominante, une capacité de travail entière dans une activité adaptée apparaît pleinement envisageable. c) Si le rapport des médecins de la [...] date effectivement de 2015, aucun élément au dossier ne laisse entrevoir une évolution significative de l’état de santé de l’assuré, contrairement à ce qu’il soutient. aa) Le Dr V.________, dans son rapport du 3 juillet 2018, admet certes un arrêt de travail de 50% sur 100% sur la base des plaintes du recourant. On ne distingue cependant pas les implications concrètes de la symptomatologie douloureuse sur la capacité de travail de l’intéressé, le Dr V.________ n’indiquant pas de nouvelles limitations fonctionnelles. Le raisonnement de ce dernier apparaît au surplus centré sur l’activité de chauffeur-livreur et n’indique pas une éventuelle diminution de la capacité de travail dans une autre activité, mieux adaptée à la symptomatologie de l’intéressé. bb) Le rapport du 4 février 2019 établi par les Drs M.________ et C.________, succinct, ne laisse quant à lui pas entrevoir de changement substantiel de la situation de l’assuré. Ces médecins se contentent de relater la persistance de la symptomatologie douloureuse à l’épaule gauche, cette dernière ayant été préalablement documentée. On remarque également que ces médecins s’abstiennent de se prononcer sur la capacité de travail du recourant et confirment au surplus les limitations fonctionnelles à l’épaule gauche. Ils ne sauraient ainsi amener suffisamment d’éléments concrets afin de mettre en doute les conclusions des médecins de la CRR, respectivement afin de conclure en une modification sensible de l’état de santé de l’intéressé. cc) Quant au rapport établi par le Dr J.________, dans la mesure où ce dernier atteste d’une incapacité de travail postérieure à la décision litigieuse et qu’il s’abstient de définir quelles seraient les limitations qui auraient empêché le recourant de travailler à plus de 50%</w:t>
      </w:r>
    </w:p>
    <w:p>
      <w:r>
        <w:t>- 16 - temporairement, il ne saurait se voir accorder une quelconque valeur probante. dd) Au surplus, on constate que les conclusions des Drs D.________ et X.________ s’inscrivent dans la continuité des constatations du Dr F.________. Ainsi, la situation médicale apparaît comme claire depuis le début de l’instruction, aucun élément ne laissant présumer une péjoration significative de l’état de santé de l’assuré. Les conclusions des médecins de la CRR conservent ainsi toute leur pertinence.</w:t>
      </w:r>
    </w:p>
    <w:p>
      <w:r>
        <w:rPr>
          <w:b/>
        </w:rPr>
        <w:t>E. 7</w:t>
      </w:r>
    </w:p>
    <w:p>
      <w:r>
        <w:t>Le recourant conteste également l’avis du SMR du 15 avril 2019, ce dernier ne pouvant être suivi au vu des rapports médicaux contradictoires versés au dossier. a) L’avis du SMR du 15 avril 2019 constitue un rapport au sens de l'art. 59 al. 2bis LAI (en corrélation avec l'art. 49 al. 1 RAI). Un tel rapport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 ci. Selon le principe de la libre appréciation des preuves (ATF 125 V 351 consid. 3a p. 352), les autorités appelées à statuer ont en effet le devoir d'examiner objectivement tous les documents à disposition, quelle que soit leur provenance, puis de décider s'ils permettent de porter un jugement valable sur le droit litigieux (cf. arrêt I 143/07 du 14 septembre 2007 consid. 3.3).</w:t>
      </w:r>
    </w:p>
    <w:p>
      <w:r>
        <w:t>- 17 - b) En l’espèce, l’avis SMR du 15 avril 2019 se fonde sur l’ensemble du dossier afin de conclure en une capacité de travail entière dans une activité adaptée et ce dès le 6 mai 2015. Le SMR reprend en particulier le rapport complet, circonstancié et probant établi le 20 mai 2015 par les médecins de la [...]. Par ailleurs, ces constatations ont été confirmées tant par les différents stages, ateliers, évaluations auxquels s’est soumis le recourant que par plusieurs éléments médicaux versés au dossier. Au vu de ce qui précède, l’avis du SMR établi par la Dre H.________ permet d’apprécier de manière appropriée la situation médicale de l’assuré, spécialement si une modification sensible des circonstances est intervenue. L’avis précité peut ainsi être suivi.</w:t>
      </w:r>
    </w:p>
    <w:p>
      <w:r>
        <w:rPr>
          <w:b/>
        </w:rPr>
        <w:t>E. 8</w:t>
      </w:r>
    </w:p>
    <w:p>
      <w:r>
        <w:t>Le recourant soutient ensuite que la résiliation de son contrat de travail auprès de [...] Sàrl et son engagement à taux partiel (50%) confirment une capacité de travail réduite à 50% dans une activité adaptée. En l’espèce, on voit mal quel argument le recourant entend tirer de la résiliation de ses rapports de travail. En effet, l’employeur a indiqué le motif de la résiliation, soit des raisons économiques liées à la perte d’une tournée journalière et, contrairement à ce que soutient le recourant, il n’y a aucune raison d’en douter. Concernant le taux d’activité, le recourant a été engagé à 50%, non pas en raison d’une capacité de travail limitée, mais bel et bien parce que le poste en question était proposé à taux partiel. Ayant été dûment informé des conséquences d’un engagement à temps partiel (cf. courrier du 30 janvier établi par l’OAI et adressé au recourant, pièce n°102), le recourant s’est annoncé aux organes de l’assurance-chômage dans l’optique d’obtenir un second emploi à 50%, afin de mettre pleinement à profit sa pleine capacité de travail dans une activité adaptée. Par ailleurs, une fois son licenciement intervenu et parvenant au terme de son premier délai-cadre d’indemnisation (cf. art. 9 LACi ; loi sur l’assurance-chômage obligatoire et l’indemnité en cas d’insolvabilité, RS 837.0), le recourant s’est annoncé en tant que demandeur d’emploi à 100%. Ainsi, les arguments du recourant</w:t>
      </w:r>
    </w:p>
    <w:p>
      <w:r>
        <w:t>- 18 - ayant trait à son licenciement, respectivement à son engagement à 50%, peuvent raisonnablement être écartés.</w:t>
      </w:r>
    </w:p>
    <w:p>
      <w:r>
        <w:rPr>
          <w:b/>
        </w:rPr>
        <w:t>E. 9</w:t>
      </w:r>
    </w:p>
    <w:p>
      <w:r>
        <w:t>a) Afin de déterminer le degré d’invalidité du recourant, l’intimé a utilisé la méthode de comparaison des revenus (art. 28a al. 1 LAI en corrélation avec l’art. 16 LPGA ; ATF 128 V 29 consid. 1 p. 30). L’utilisation de cette méthode n’est pas remise en cause par le recourant. Il conteste cependant l’abattement de 10% appliqué au revenu d’invalide, soutenant l’application d’un abattement supérieur afin de tenir compte de sa capacité limitée dans l’exercice d’une activité légère. b) La mesure dans laquelle les salaires ressortant des statistiques (enquête suisse sur la structure des salaires ; ESS) doivent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Une telle réduction n’est cependant pas automatique (cf. ATF 126 V 75 consid. 5b/aa-cc p. 79 s ; TF 9C_273/2019 du 18 juillet 2019 consid 5.1). c) Dans le cadre de la comparaison des revenus, l’intimé a fixé le revenu sans atteinte à la santé à 74'832 fr., celui avec atteinte à la santé à 59'542 fr. 57, et ce pour l’année 2015, soit au moment de la naissance du droit à la rente (cf ATF 129 V 222 consid. 4.2). Correctement déduits des informations fournies par l’ancien employeur de l’assuré et des salaires statistiques, ces montants peuvent être confirmés. Une perte de 15'289 fr. 43 en résulte, correspondant à un degré d’invalidité de 20,43%. d) En l’espèce, la déduction de 10% opérée par l’intimé sur le revenu d’invalide apparaît adéquate. Elle prend en compte de manière satisfaisante les limitations fonctionnelles présentées par l’assuré ainsi que son âge, péjorant la mise à profit de la capacité résiduelle du</w:t>
      </w:r>
    </w:p>
    <w:p>
      <w:r>
        <w:t>- 19 - recourant sur le marché du travail. L’argument selon lequel, avec une activité légère, le recourant perçoit un salaire plus bas qu’avec une activité lourde, n’est en l’occurrence pas pertinent. En effet, à l’occasion de la comparaison des revenus, il est déjà tenu compte de la différence de revenus entre sa précédente activité et sa nouvelle activité exigible. Il en résulte que, dans le cas du recourant, un abattement de 10% est admissible.</w:t>
      </w:r>
    </w:p>
    <w:p>
      <w:r>
        <w:rPr>
          <w:b/>
        </w:rPr>
        <w:t>E. 10</w:t>
      </w:r>
    </w:p>
    <w:p>
      <w:r>
        <w:t>Les circonstances de la cause ne justifient pas la mise en œuvre d’une nouvelle expertise, dès lors que la Cour est en mesure de statuer (appréciation anticipée des preuves ; ATF 144 II 427 consid. 3.1.3 ; 140 I 285 consid. 6.3.1 ; 130 II 425 consid. 2.1 ; 122 II 464 consid. 4a ; 122 III 219 consid. 3c ; 120 Ib 224 consid. 2b).</w:t>
      </w:r>
    </w:p>
    <w:p>
      <w:r>
        <w:rPr>
          <w:b/>
        </w:rPr>
        <w:t>E. 11</w:t>
      </w:r>
    </w:p>
    <w:p>
      <w:r>
        <w:t>a) Sur le vu de ce qui précède, le recours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c) Il n’y a par ailleurs pas lieu d’allouer de dépens, le recourant n’obtenant pas gain de cause (art. 61 let. g LPGA).</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