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ZD19.022634 vom 15. Juli 2020</w:t>
      </w:r>
    </w:p>
    <w:p>
      <w:r>
        <w:t>VD Tribunal cantonal, 2020-07-15, FR</w:t>
      </w:r>
    </w:p>
    <w:p>
      <w:r>
        <w:rPr>
          <w:b/>
        </w:rPr>
        <w:t xml:space="preserve">Quelle: </w:t>
      </w:r>
      <w:r>
        <w:t>https://mcp.opencaselaw.ch/entscheid/vd_gerichte_ZD19.022634</w:t>
      </w:r>
    </w:p>
    <w:p>
      <w:r>
        <w:t>FR: VD_GERICHTE ZD19.022634 du 15 juillet 2020</w:t>
      </w:r>
    </w:p>
    <w:p>
      <w:r>
        <w:t>IT: VD_GERICHTE ZD19.022634 del 15 luglio 2020</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w:t>
      </w:r>
    </w:p>
    <w:p>
      <w:r>
        <w:t>- 13 -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a pour objet le droit de la recourante à une rente de l’assurance-invalidité et à des mesures professionnelles, singulièrement le degré d’invalidité à la base de ces prestations.</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w:t>
      </w:r>
    </w:p>
    <w:p>
      <w:r>
        <w:t>- 14 - celui qu’il pourrait obtenir en exerçant l’activité qui peut raisonnablement être exigée de lui après les traitements et les mesures de réadaptation, sur un marché du travail équilibré (revenu avec invalidité ; art. 16 LPGA).</w:t>
      </w:r>
    </w:p>
    <w:p>
      <w:r>
        <w:rPr>
          <w:b/>
        </w:rPr>
        <w:t>E. 4</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8C_580/2019 du 6 avril 2020 consid. 4.1).</w:t>
      </w:r>
    </w:p>
    <w:p>
      <w:r>
        <w:t>- 15 - c)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Cela vaut également lorsqu’un ou plusieurs médecins ont émis une opinion divergente de celle de l’expert (TF 9C_615/2015 du 12 janvier 2016 consid. 6.2 et la référence citée : TF 9C_722/2014 du 29 avril 2015 consid. 4.1). d)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e) Selon la jurisprudence,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w:t>
      </w:r>
    </w:p>
    <w:p>
      <w:r>
        <w:t>- 16 -</w:t>
      </w:r>
    </w:p>
    <w:p>
      <w:r>
        <w:rPr>
          <w:b/>
        </w:rPr>
        <w:t>E. 5</w:t>
      </w:r>
    </w:p>
    <w:p>
      <w:r>
        <w:t>a) En l’espèce, l’intimé retient que la recourante présente une capacité de travail de 60 % dans l’activité habituelle d’auxiliaire de santé et de 80 % dans une activité adaptée à ses limitations fonctionnelles, ce que l’intéressée conteste. b) aa) S’agissant des troubles ostéo-articulaires dont souffre la recourante, les conclusions de l’expertise bidisciplinaire réalisée auprès du centre J.________ sont convaincantes. Les experts admettent que l’intéressée pouvait poursuivre son travail d’auxiliaire de vie à condition d’éviter les positions prolongées accroupie ou agenouillée et le port de charge de plus de 10 kg pour éviter d’exacerber les lombalgies. En revanche, les symptômes décrits étaient manifestement exagérés avec une autolimitation. Sur le plan rhumatologique, les experts admettent une diminution de 20 % de la capacité de travail dans l’activité habituelle du fait que celle-ci ne correspond pas tout à fait au profil d’effort de la recourante (personnes lourdes et invalides, toilette complète). Les conclusions des experts ne divergent pas des autres rapports médicaux au dossier, ce qui reflète une stabilité des troubles ostéo-articulaires depuis le début de l’instruction menée par l’intimé. Dans ses rapports des 6 août et 3 novembre 2014, le Dr D.________ estimait la capacité de travail à 50 % dans l’activité habituelle en raison des difficultés à monter et descendre les escaliers, à porter des charges lourdes, à se baisser et à effectuer les soins et les toilettes des résidents de l’EMS où elle travaillait. Le médecin-conseil de C.________ AG, le Dr F.________ a initialement tiré les mêmes conclusions dans son rapport du</w:t>
      </w:r>
    </w:p>
    <w:p>
      <w:r>
        <w:rPr>
          <w:b/>
        </w:rPr>
        <w:t>E. 8</w:t>
      </w:r>
    </w:p>
    <w:p>
      <w:r>
        <w:t>a) En définitive, le recours doit être rejeté et la décision attaquée confirmée. b) En dérogation à l’art. 61 let. a LPGA, la procédure de recours en matière de contestation portant sur l’octroi ou le refus de prestations de l’assurance-invalidité devant le tribunal cantonal des</w:t>
      </w:r>
    </w:p>
    <w:p>
      <w:r>
        <w:t>- 23 - assurances est soumise à des frais de justice (art. 69 al. 1bis première phrase LAI) qui doivent être fixés à 400 fr. et mis à la charge de la recourante, qui succombe. c) Il n’y a par ailleurs pas lieu d’allouer de dépens, la recourante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