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ZD19.021563 vom 10. November 2020</w:t>
      </w:r>
    </w:p>
    <w:p>
      <w:r>
        <w:t>VD Tribunal cantonal, 2020-11-10, FR</w:t>
      </w:r>
    </w:p>
    <w:p>
      <w:r>
        <w:rPr>
          <w:b/>
        </w:rPr>
        <w:t xml:space="preserve">Quelle: </w:t>
      </w:r>
      <w:r>
        <w:t>https://mcp.opencaselaw.ch/entscheid/vd_gerichte_ZD19.021563</w:t>
      </w:r>
    </w:p>
    <w:p>
      <w:r>
        <w:t>FR: VD_GERICHTE ZD19.021563 du 10 novembre 2020</w:t>
      </w:r>
    </w:p>
    <w:p>
      <w:r>
        <w:t>IT: VD_GERICHTE ZD19.021563 del 10 novembre 2020</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w:t>
      </w:r>
    </w:p>
    <w:p>
      <w:r>
        <w:t>- 37 - l'avis des experts interpellés par l'autorité administrative (ATF 137 V 210 consid. 4.4.1.4 et 4.4.1.5). c) En l’espèce, ainsi qu’il a été remarqué sous consid. 11c ci- dessus, l’état de fait sur le plan psychique demeure incomplet. Font en effet défaut les informations concernant la prise en charge psychiatrique assumée au sein de l’Hôpital Y.________, singulièrement par le Dr R.________. L’intimé ne pouvait ignorer ces éléments mentionnés dans plusieurs rapports médicaux. De surcroît, le Dr R.________ avait sollicité le dossier de la recourante au stade de la procédure d’audition informant l’intimé de son mandat thérapeutique (cf. correspondance du Dr R.________ à l’intimé du 11 septembre 2018). Il appartenait à l’intimé, à ce moment-là au plus tard, de solliciter les renseignements utiles auprès de ce praticien. Faute à l’intimé d’avoir satisfait à son obligation d’instruction ressortant de l’art. 43 LPGA, il s’impose de lui renvoyer la cause. d) Après actualisation de son dossier médical (eu égard notamment à la prise en charge psychiatrique assumée au sein de l’Hôpital Y.________, il incombera à l’intimé de mettre en œuvre un complément d’expertise psychiatrique de la recourante auprès du Prof. S.________, destiné à se prononcer sur les différents diagnostics retenus et leurs incidences. Le rapport d’expertise correspondant devra s’exprimer sur l’évolution de l’état de santé psychique de la recourante, en analysant les différentes pièces au dossier et en se fondant sur les résultats des évaluations neuropsychologiques. Il s’agira ensuite pour l’expert de déterminer précisément les répercussions de la symptomatologie (y compris des troubles neuropsychologiques) sur la capacité de travail et d’exclure d’éventuels facteurs psychosociaux (situation financière p. ex.) de son appréciation. Par ailleurs, l’expert devra se conformer à la jurisprudence fédérale relative aux troubles psychiques, en fournissant une analyse des indicateurs pertinents et une évaluation circonstanciée des ressources fonctionnelles à disposition de la recourante.</w:t>
      </w:r>
    </w:p>
    <w:p>
      <w:r>
        <w:t>- 38 - 13.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(art. 49 al. 1 LPA-VD, applicable par renvoi des art. 91 et 99 LPA-VD). c) La recourante, assistée d’un mandataire professionnel et obtenant gain de cause, peut prétendre des dépens, arrêtés à 1’800 fr., et mis à la charge de l’intimé (art. 55 al. 1 LPA-VD et art 61 let. g LPGA). d) La recourante bénéficie, au titre de l'assistance judiciaire, de la commission d'office d'un avocat en la personne de Me Karim Hichri à compter du 14 juin 2019 jusqu'au terme de la présente procédure (art. 118 al. 1 let. c CPC, applicable par renvoi de l'art. 18 al. 5 LPA-VD). Ce dernier a renoncé à déposer la liste détaillée de ses activités. Au vu toutefois du nombre et de la teneur des écritures de Me Hichri, on peut considérer un total de 8 heures déployées pour l’intégralité de son intervention. En définitive, il convient ainsi d’octroyer à l’intéressé un montant total de 1’628 fr. 40 (y inclus des débours de 5 % [72 fr.] et la TVA de 7,7 % [116 fr. 40]) pour l’ensemble de ses activités dans la présente affaire. Cette rémunération est au demeurant couverte par les dépens octroyés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