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ZD19.020520 vom 11. Dezember 2019</w:t>
      </w:r>
    </w:p>
    <w:p>
      <w:r>
        <w:t>VD Tribunal cantonal, 2019-12-11, FR</w:t>
      </w:r>
    </w:p>
    <w:p>
      <w:r>
        <w:rPr>
          <w:b/>
        </w:rPr>
        <w:t xml:space="preserve">Quelle: </w:t>
      </w:r>
      <w:r>
        <w:t>https://mcp.opencaselaw.ch/entscheid/vd_gerichte_ZD19.020520</w:t>
      </w:r>
    </w:p>
    <w:p>
      <w:r>
        <w:t>FR: VD_GERICHTE ZD19.020520 du 11 décembre 2019</w:t>
      </w:r>
    </w:p>
    <w:p>
      <w:r>
        <w:t>IT: VD_GERICHTE ZD19.020520 del 11 dicembre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aux prestations de l’assurance- invalidité du recourant.</w:t>
      </w:r>
    </w:p>
    <w:p>
      <w:r>
        <w:rPr>
          <w:b/>
        </w:rPr>
        <w:t>E. 3</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w:t>
      </w:r>
    </w:p>
    <w:p>
      <w:r>
        <w:t>- 7 - celui qu’il pourrait obtenir en exerçant l’activité qui peut raisonnablement être exigée de lui après les traitements et les mesures de réadaptation, sur un marché du travail équilibré (revenu avec invalidité ; art. 16 LPGA).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8C_862/2008 du 19 août 2009 consid. 4.2).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w:t>
      </w:r>
    </w:p>
    <w:p>
      <w:r>
        <w:t>- 8 - bien son contenu (ATF 134 V 231 consid. 5.1 ; 125 V 351 consid. 3a ; TF 8C_75/2017 du 24 octobre 2017 consid. 3.4).</w:t>
      </w:r>
    </w:p>
    <w:p>
      <w:r>
        <w:rPr>
          <w:b/>
        </w:rPr>
        <w:t>E. 4</w:t>
      </w:r>
    </w:p>
    <w:p>
      <w:r>
        <w:t>a) En l’espèce, le recourant souffre sur le plan rhumatologique principalement de dorsalgies irradiant à l’hémithorax droit sur troubles statiques et dégénératifs du rachis avec séquelles de maladie de Scheuermann, d’une petite hernie discale D6-D7 et de la maladie de Forestier anamnestique (rapport d’examen clinique rhumatologique du SMR du 28 février 2017). S’agissant des autres atteintes à la santé examinées dans le cadre de l’instruction de la demande, aucune ne s’est révélée incapacitante selon les médecins consultés (notamment rapports du 7 juin 2018 de la Dre Q.________ sur le plan ophtalmique ; du 15 juin 2018 de la Dre F.________ qui ne mentionne pas de problème de surdité ; du 15 août 2018 de la Dre K.________ concernant l’opération de la main gauche ; du 15 août 2018 du Dr W.________ pour le syndrome d’apnées- hypopnées), ce que le recourant ne conteste pas. Il critique toutefois le taux d’incapacité de travail retenu par le SMR, affirmant que les douleurs et la fatigabilité liées au trouble dorsal ne diminuent pas en position debout, ni avec l’alternance des positions assises et debout. b) Dans le rapport d’examen clinique rhumatologique du SMR du 28 février 2017, le Dr J.________ retient une capacité de travail de 80 % dans une activité strictement adaptée aux limitations fonctionnelles requises par la pathologie ostéoarticulaire. Seule la Dre F.________ mentionne un taux de 50 % (rapport des 24 janvier 2016 et 15 juin 2018). Or, son appréciation est uniquement motivée par la grande fatigabilité liée aux douleurs dorsales et aux troubles du sommeil. Cependant, le syndrome d’apnées-hypopnées n’est pas incapacitant (rapport du 15 août 2018 du Dr W.________). Quant aux douleurs dorsales, la médecin traitante n’expose pas en quoi ces seules douleurs justifieraient une diminution de la capacité de travail. Ses rapports ne sont pas étayés et le recourant n’apporte pas d’élément supplémentaire qui permettrait de s’écarter de l’appréciation du Dr J.________. Le rapport du 28 février 2017 de ce médecin est du reste clair et examine les points litigieux de manière circonstanciée. Il se fonde sur des examens complets et prend en compte</w:t>
      </w:r>
    </w:p>
    <w:p>
      <w:r>
        <w:t>- 9 - les plaintes du recourant. Il est établi en pleine connaissance du dossier, avec des conclusions bien motivées, de sorte qu’il est probant (ATF 137 V 231 consid. 5.1 ; TF 8C_75/2017 du 24 octobre 2017 consid. 3.4). Le Dr J.________ indique qu’il n’y a aucune raison biomécanique à attester une incapacité de travail supérieure à 20 % dans une activité adaptée. c) Le recourant discute également le caractère adapté des activités listées par l’intimé, soit une activité non qualifiée dans le domaine de la production et des services, par exemple comme opérateur de production sur machines automatisées ou semi-automatisées, contrôle- qualité ou employé de scannage. Il estime qu’elles ne sauraient être plus adaptées que le métier de chauffeur professionnel de personnes. Il critique dans cette mesure les limitations fonctionnelles retenues par le Dr J.________. Or, il n’invoque aucun rapport médical à l’appui de ses allégations qui permettraient de s’en écarter. Ce médecin liste les limitations fonctionnelles suivantes concernant le rachis : nécessité de pouvoir alterner deux fois par heure la position assise et la position debout, pas de soulèvement ou de port régulier de charge d’un poids excédant 5 kg, pas de travail en porte-à-faux statique prolongé du tronc, pas d’exposition à des vibrations, pas de mouvement répétés de flexion- extension de la nuque, pas de rotation rapide de la tête, pas de position prolongée en flexion ou extension de la nuque. Pour les membres supérieurs droits, le recourant ne doit pas faire d’élévation ou d’abduction de l’épaule droite à plus de 70°, ni lever de charges de plus de 5 kg. Le Dr J.________ précise que la position assise est limitée à 1 heure 15 – 1 heure 30 par les douleurs dorsales, la position debout immobile à 30 minutes et, lorsque le recourant bouge, à 2 heures. Le périmètre de marche serait limité à 2 heures 15 par les douleurs dorsales. Quant à la Dre F.________, elle cite, dans son rapport du 24 janvier 2016, des limitations moins importantes ou identiques à celles du Dr J.________, notamment concernant les activités uniquement en position assise (1 heure 30) ou debout (exigibles durant 4 heures). Les activités dans différentes positions pouvaient être exercées durant 4 heures alors que le Dr J.________ prévoit une alternance deux fois par heure. La médecin traitante limitait le port de charges à 12 kg, alors que le Dr J.________</w:t>
      </w:r>
    </w:p>
    <w:p>
      <w:r>
        <w:t>- 10 - retient 5 kg. S’agissant des vibrations, le recourant estime que l’absence de vibrations ne saurait justifier une augmentation de sa capacité de travail de 30 %. A cet égard, le Dr J.________ retient que l’activité de transporteur professionnel de personnes n’est pas complètement adaptée au vu des vibrations qu’elle entraîne et que la capacité de travail est tout au plus de 50 % dans cette activité (rapport du 28 février 2017). Il n’est en effet pas contestable que les chauffeurs soient soumis à des vibrations. Dès lors qu’elles font partie des limitations fonctionnelles, on ne saurait considérer cette activité comme étant totalement adaptée. Quant aux activités retenues par l’intimé, elles permettent de respecter les limitations précitées, dont il n’y a pas lieu de s’écarter. d) Au vu de ce qui précède, la décision litigieuse peut être suivie sur la capacité de travail de 80 % dans une activité adaptée aux limitations fonctionnelles citées par le Dr J.________.</w:t>
      </w:r>
    </w:p>
    <w:p>
      <w:r>
        <w:rPr>
          <w:b/>
        </w:rPr>
        <w:t>E. 5</w:t>
      </w:r>
    </w:p>
    <w:p>
      <w:r>
        <w:t>a) Dans un deuxième temps, le recourant reproche à l’intimé de ne pas avoir considéré comme adaptée l’activité pour laquelle il a suivi une reconversion, soit le métier de chauffeur professionnel de personnes. b)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 voir aussi ATF 138 I 205 consid. 3.2).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w:t>
      </w:r>
    </w:p>
    <w:p>
      <w:r>
        <w:t>- 11 -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Selon les circonstances, le maintien ou le déplacement d'un domicile, respectivement le lieu de travail, peut apparaître comme étant une mesure exigible de l'assuré.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(ATF 138 I 205 consid. 3.3 et les références ; TF 9C_40/2017 du 2 juin 2017 consid. 2.3). c) En l’occurrence, le recourant a bénéficié d’une reconversion professionnelle ordonnée dans le cadre d’une mesure d’intervention précoce. Selon l’art. 7d LAI, les mesures d’intervention précoce ont pour but de maintenir à leur poste les assurés en incapacité de travail ou de permettre leur réadaptation à un nouveau poste au sein de la même entreprise ou ailleurs. Il s’agit d’offrir un soutien aussi rapidement que possible aux personnes en arrêt de travail afin de garder intactes leurs chances de reprendre un emploi ou une activité comparable (FF 2005 4272). Dans ce contexte, l’intimé a mis en place des mesures en faveur du recourant, tout en l’avertissant que l’activité d’ouvrier en industrie légère resterait probablement exigible dans le futur (proposition de bilan du 23 août 2016). S’agissant des exigences qui peuvent être posées à un assuré au titre de son obligation de réduire le dommage, l’intimé a estimé</w:t>
      </w:r>
    </w:p>
    <w:p>
      <w:r>
        <w:t>- 12 - exigible que le recourant quitte son emploi actuel et trouve une activité non qualifiée dans le domaine de la production et des services, par exemple comme opérateur de production sur machines automatisées ou semi-automatisées, contrôle-qualité ou employé de scannage. Au vu des circonstances du cas d’espèce, on peut certes regretter que l’orientation du recourant vers le métier de chauffeur professionnel de personnes ait eu lieu avant que ses limitations fonctionnelles aient été déterminées avec précision. Cela étant, les mesures prises dans le cadre de la détection précoce sont mises en œuvre rapidement afin d’atteindre leur but et interviennent donc dans une phase où l’instruction médicale n’est pas encore nécessairement terminée. Cependant, en tenant compte des circonstances objectives et subjectives du cas d’espèce, notamment du fait que le recourant est décrit comme une personne intelligente et capable de s’adapter (rapport du 28 février 2017, p. 9), il n’est pas déraisonnable ou abusif d’attendre de lui qu’il cherche un autre emploi qui lui permette de travailler à 80 %, qui plus est dans des activités qui ne nécessitent pas de formation complémentaire. De plus, il convient d'admettre que le marché du travail offre un large éventail d'activités légères, dont on doit convenir qu'un nombre significatif sont adaptées aux limitations du recourant. A cet égard, il n'établit pas de manière convaincante en quoi les activités retenues ne seraient pas exigibles au regard de ses limitations fonctionnelles. Même si les restrictions qu’elles induisent et l’âge du recourant peuvent limiter dans une certaine mesure ses possibilités de retrouver un emploi, on ne saurait considérer qu’ils rendent cette perspective illusoire. On rappellera au demeurant qu'il n'y a pas lieu, dans ce contexte, d'examiner dans quelle mesure la situation concrète du marché du travail permettrait au recourant de retrouver un emploi (TF 9C_31/2010 du 28 septembre 2010 consid. 4.3). d) S’agissant de la requête tendant à être mis au bénéfice d’un stage d’observation professionnelle, il est précisé que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w:t>
      </w:r>
    </w:p>
    <w:p>
      <w:r>
        <w:t>- 13 - valeur une capacité de travail et de gain sur le marché du travail.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Cela étant, lorsqu'il est clair d'emblée que l'exercice d'activités relativement variées est encore exigible de l'intéressé, un renvoi général à un marché du travail équilibré, structuré de telle sorte qu'il offre un éventail d'emplois diversifié, est suffisant. (TFA I 778/05 du 11 janvier 2007 consid. 6.2 et les références). Dans le cas d’espèce, comme déjà relevé (consid. 5c supra), le recourant est décrit comme une personne intelligente et capable de s’adapter (rapport du 28 février 2017, p. 9). Le marché du travail offre par ailleurs un éventail d’emplois diversifiés, ce qui ne justifie donc pas en l’occurrence la mise en place d’un stage d’observation professionnelle.</w:t>
      </w:r>
    </w:p>
    <w:p>
      <w:r>
        <w:rPr>
          <w:b/>
        </w:rPr>
        <w:t>E. 6</w:t>
      </w:r>
    </w:p>
    <w:p>
      <w:r>
        <w:t>Cela étant constaté, il y a lieu de déterminer le degré d’invalidité du recourant.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w:t>
      </w:r>
    </w:p>
    <w:p>
      <w:r>
        <w:t>- 14 -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(consid. 5a supra).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w:t>
      </w:r>
    </w:p>
    <w:p>
      <w:r>
        <w:t>- 15 - d) L’intimé retient un revenu sans atteinte à la santé de 84'890 fr., qu’il compare à un revenu d’invalide de 50'706 fr. 39, pour obtenir une perte de gain de 34'183 fr. 61, soit un degré d’invalidité de 40,3 %. En effet, le salaire de référence pour des hommes exerçant des activités simples et répétitives dans le secteur privé (production et services), était, en 2014, de 5'312 fr. par mois, part au treizième salaire comprise (ESS 2014, TA 1, niveau de qualification 1). Compte tenu de l’indexation à l’année 2015 (0,4 %), année déterminante pour la comparaison des revenus (art. 28 al. 1 LAI), et de la durée hebdomadaire de travail dans les entreprises en 2014 (41,7 heures), ce montant doit être porté à 5'559 fr. 91, correspondant à un salaire annuel de 66'718 fr. 93. L’intimé a réduit ce montant à 50'706 fr. 39 pour tenir compte de la capacité de travail de 80 % et d’une diminution de rendement de 5 %. Le recourant ne conteste pas le revenu sans invalidité, qui, contrôlé d’office, n’est pas critiquable au vu des revenus réalisés auprès d’Y.________ SA (rapport de l’employeur du 10 décembre 2015). S’agissant du revenu avec atteinte à la santé, le recourant discute le taux d’abattement retenu, estimant qu’un taux de 15 % est justifié pour tenir compte de son âge et de ses années de services. Or, l’évaluation de sa capacité de travail tient déjà compte des nombreuses limitations fonctionnelles et de leurs conséquences sur le rendement. Cela dit, même s’il fallait retenir un abattement de 15 %, ce qui porterait le salaire exigible à 45'368 fr. 90 et la perte de gain à 39'521 fr. 10, le degré d’invalidité de 46,55 % ne changerait rien au droit à la rente tel que retenu par l’intimé.</w:t>
      </w:r>
    </w:p>
    <w:p>
      <w:r>
        <w:rPr>
          <w:b/>
        </w:rPr>
        <w:t>E. 7</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w:t>
      </w:r>
    </w:p>
    <w:p>
      <w:r>
        <w:t>- 16 - placement et aide en capital). Pour déterminer si une mesure est de nature à maintenir ou à améliorer la capacité de gain d’un assuré, il convient d’effectuer un pronostic sur les chances de succès des mesures demandées (ATF 132 V 215 consid. 3.2.2 et les références),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l’AI, tant objectivement en ce qui concerne la mesure que sur le plan subjectif en ce qui concerne la personne de l’assuré (TF 9C_609/2009 15 avril 2010 consid. 9.2 et la référence). b) En l’occurrence, le recourant peut exercer une activité adaptée ne nécessitant aucune formation. De plus, le droit à des mesures de réadaptation professionnelle en tant que telles n’est plus ouvert en raison de la durée restant jusqu’à l’âge de la retraite du recourant et du principe de proportionnalité. En effet, comme retenu par l’intimé, aucune mesure appropriée et proportionnelle n’est susceptible de réduire le préjudice économique. Les conditions d’octroi desdites mesures ne sont dès lors pas remplies.</w:t>
      </w:r>
    </w:p>
    <w:p>
      <w:r>
        <w:rPr>
          <w:b/>
        </w:rPr>
        <w:t>E. 8</w:t>
      </w:r>
    </w:p>
    <w:p>
      <w:r>
        <w:t>a) En définitive,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pas lieu d’allouer des dépens, le recourant n’obtenant pas gain de cause (art. 61 let. g LPGA).</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