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ZD19.016367 vom 25. August 2020</w:t>
      </w:r>
    </w:p>
    <w:p>
      <w:r>
        <w:t>VD Tribunal cantonal, 2020-08-25, FR</w:t>
      </w:r>
    </w:p>
    <w:p>
      <w:r>
        <w:rPr>
          <w:b/>
        </w:rPr>
        <w:t xml:space="preserve">Quelle: </w:t>
      </w:r>
      <w:r>
        <w:t>https://mcp.opencaselaw.ch/entscheid/vd_gerichte_ZD19.016367</w:t>
      </w:r>
    </w:p>
    <w:p>
      <w:r>
        <w:t>FR: VD_GERICHTE ZD19.016367 du 25 août 2020</w:t>
      </w:r>
    </w:p>
    <w:p>
      <w:r>
        <w:t>IT: VD_GERICHTE ZD19.016367 del 25 agosto 2020</w:t>
      </w:r>
    </w:p>
    <w:p>
      <w:pPr>
        <w:pStyle w:val="Heading2"/>
      </w:pPr>
      <w:r>
        <w:t>Erwägungen</w:t>
      </w:r>
    </w:p>
    <w:p>
      <w:r>
        <w:rPr>
          <w:b/>
        </w:rPr>
        <w:t>E. 1</w:t>
      </w:r>
    </w:p>
    <w:p>
      <w:r>
        <w:t>a) La LPGA (loi fédérale du 6 octobre 2000 sur la partie générale du droit des assurances sociales ; RS 830.1) est, sauf dérogation</w:t>
      </w:r>
    </w:p>
    <w:p>
      <w:r>
        <w:t>- 6 -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l’OAI admet que la décision a été datée par erreur du 15 janvier 2019, alors qu’elle aurait dû être datée du 27 mars 2019 de sorte que,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l’assurance-invalidité, bien que les conclusions du recours manquent de clarté. Comme l’a relevé l’OAI dans sa réponse du 19 août 2019, le recourant ne paraît pas formellement remettre en cause sa capacité de travail dans une activité adaptée, mais sollicite la prise en charge des troubles qu’il allègue présenter au niveau dentaire. A cet égard, à teneur de l’art. 31 al. 1 LAMal (loi fédérale du 18 mars 1994 sur l’assurance- maladie ; RS 832.10), c’est l’assurance obligatoire des soins qui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Conformément à l’art. 33 al. 2 et 5 LAMal, en liaison avec l’art. 33 let. d OAMal (ordonnance du 27 juin 1995 sur l’assurance- maladie ; RS 832.102), le département fédéral de l’intérieur (DFI) a édicté les art. 17 à 19a OPAS (ordonnance du 29 septembre 1995 sur les prestations dans l’assurance obligatoire des soins en cas de maladie ; RS 832.112.31), qui se rapportent à chacune des éventualités prévues à l’art. 31 al. 1 let. a à c LAMal. Il est ainsi loisible au recourant de solliciter le cas</w:t>
      </w:r>
    </w:p>
    <w:p>
      <w:r>
        <w:t>- 7 - échéant les prestations de son assurance-maladie en lien avec les problèmes allégués – au demeurant non documentés – au niveau dentaire. Sa requête de prise en charge excède cependant l’objet du litige (cf. ATF 134 V 418 consid. 5.2.1 et les références), de sorte qu’elle est irrecevable.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 teneur de l’art. 28 al. 1 LAI, l’assuré a droit à une rente si sa capacité de gain ou sa capacité d’accomplir ses travaux habituels ne peut pas être rétablie, maintenue ou améliorée par des mesures de réadaptation raisonnablement exigibles (a), s’il a présenté une incapacité de travail d’au moins 40 % en moyenne durant une année sans interruption notable (b) et si, au terme de cette année, il est invalide à 40 % au moins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- 8 -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4</w:t>
      </w:r>
    </w:p>
    <w:p>
      <w:r>
        <w:t>En l’occurrence, le recourant n’est plus en mesure d’exercer son activité habituelle d’aide de bloc opératoire depuis le 23 janvier 2018</w:t>
      </w:r>
    </w:p>
    <w:p>
      <w:r>
        <w:t>- 9 - compte tenu de ses limitations fonctionnelles (fatigabilité et baisse de la concentration), ce qu’admet l’OAI. Toutefois à l’échéance du délai d’attente d’une année prévu par l’art. 28 al. 1 LAI, soit le 23 janvier 2019, l’intéressé demeure apte à exercer, à plein temps, une activité adaptée, ce qu’il ne remet pas en cause, puisqu’il indique dans son recours qu’il est « bien évident que dans un contexte adapté, [sa] capacité de travail pourrait être totale ». Le médecin traitant du recourant, le Dr P.________, ne remet pas non plus en cause la capacité de travail entière de son patient dans une activité adaptée (cf. rapport du 20 mars 2018 à l’OAI). Le Dr P.________ n‘a par ailleurs pas fait état d’atteinte au niveau somatique, en particulier en lien avec les douleurs dentaires dont se plaint le recourant (cf. rapport du 20 mars 2018 à l’OAI). Bien qu’assisté d’un conseil, à qui l’opportunité a été donnée de produire pour le compte de son mandant des explications complémentaires, respectivement toutes pièces utiles (cf. avis du greffe des 21 août, 28 novembre 2019, 31 janvier 2020 et 25 février 2020), le recourant n’a produit aucun élément susceptible de remettre en cause l’appréciation de l’autorité intimée selon laquelle, au terme du délai d’attente d’un an, sa capacité de travail est entière dans une activité adaptée à ses limitations fonctionnelles. En l’absence de griefs soulevés sur l'évaluation de la perte de gain, il n’y a pas lieu de revenir plus avant sur la comparaison des revenus à laquelle a procédé l'OAI ; vérifié d'office, le calcul opéré par l’OAI peut être confirmé. Il ne fait apparaître aucun préjudice économique, ce qui exclut dès lors le droit à la rente.</w:t>
      </w:r>
    </w:p>
    <w:p>
      <w:r>
        <w:rPr>
          <w:b/>
        </w:rPr>
        <w:t>E. 5</w:t>
      </w:r>
    </w:p>
    <w:p>
      <w:r>
        <w:t>RAJ).</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