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ZD19.014869 vom 28. Oktober 2019</w:t>
      </w:r>
    </w:p>
    <w:p>
      <w:r>
        <w:t>VD Tribunal cantonal, 2019-10-28, FR</w:t>
      </w:r>
    </w:p>
    <w:p>
      <w:r>
        <w:rPr>
          <w:b/>
        </w:rPr>
        <w:t xml:space="preserve">Quelle: </w:t>
      </w:r>
      <w:r>
        <w:t>https://mcp.opencaselaw.ch/entscheid/vd_gerichte_ZD19.014869</w:t>
      </w:r>
    </w:p>
    <w:p>
      <w:r>
        <w:t>FR: VD_GERICHTE ZD19.014869 du 28 octobre 2019</w:t>
      </w:r>
    </w:p>
    <w:p>
      <w:r>
        <w:t>IT: VD_GERICHTE ZD19.014869 del 28 ottobre 2019</w:t>
      </w:r>
    </w:p>
    <w:p>
      <w:pPr>
        <w:pStyle w:val="Heading2"/>
      </w:pPr>
      <w:r>
        <w:t>Erwägungen</w:t>
      </w:r>
    </w:p>
    <w:p>
      <w:r>
        <w:rPr>
          <w:b/>
        </w:rPr>
        <w:t>E. 5</w:t>
      </w:r>
    </w:p>
    <w:p>
      <w:r>
        <w:t>a) Le Tribunal fédéral a modifié sa pratique en matière d’évaluation du droit aux prestations de l’assurance-invalidité en cas de toxicomanie (TF 9C_724/2018 du 11 juillet 2019, destiné à la publication). Il a notamment abandonné la présomption que les toxicomanies primaires en tant que telles ne justifiaient en principe pas la reconnaissance d’une invalidité au sens de la loi (consid. 5.3.3) et étendu l’application de la jurisprudence relative aux troubles psychiques (ATF 143 V 418) aux cas de syndrome de dépendance. Il s’agit dorénavant de déterminer selon une grille d’évaluation normative et structurée (ATF 141 V 281) si, et le cas échéant jusqu’à quel point, un syndrome de dépendance diagnostiqué par des spécialistes influence dans le cas examiné la capacité de travail (TF 9C_724/2018 précité consid. 5.3.2). Selon l’ATF 141 V 281, le caractère invalidant des affections psychosomatiques, des affections psychiques et dorénavant des toxicomanies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w:t>
      </w:r>
    </w:p>
    <w:p>
      <w:r>
        <w:t>- 13 - 409 consid. 4.4 ; TF 9C_115/2018 du 5 juillet 2018 consid. 4.1 et les références). b) Une nouvelle jurisprudence ou un changement de celle-ci s’applique immédiatement et vaut pour les cas futurs, ainsi que pour les affaires pendantes devant un tribunal au moment de l’adoption de la nouveauté ou du changement (ex nunc et pro futuro). Elle s’applique donc également, mais sans effet rétroactif, quand l’événement assuré s’est produit avant le prononcé du changement de jurisprudence. S’il est vrai que l’interdiction de la rétroactivité implique qu’une nouvelle jurisprudence ou un changement de celle-ci ne soit pas appliquée à des faits entièrement révolus avant son adoption (rétroactivité proprement dite), ce principe ne s’oppose pas à ce que la nouvelle jurisprudence soit appliquée à des faits ayant pris naissance antérieurement au prononcé judiciaire, mais qui déploient encore des effets postérieurement à ce moment (rétroactivité improprement dite), sous réserve des droits acquis (ATF 140 V 154 consid. 6.3.2 et les références ; TF 9C_346/2017 du 14 novembre 2017 consid. 5.3.1).</w:t>
      </w:r>
    </w:p>
    <w:p>
      <w:r>
        <w:rPr>
          <w:b/>
        </w:rPr>
        <w:t>E. 6</w:t>
      </w:r>
    </w:p>
    <w:p>
      <w:r>
        <w:t>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w:t>
      </w:r>
    </w:p>
    <w:p>
      <w:r>
        <w:rPr>
          <w:b/>
        </w:rPr>
        <w:t>E. 10</w:t>
      </w:r>
    </w:p>
    <w:p>
      <w:r>
        <w:t>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l’intimé (art. 49 al. 1 LPA-VD, applicable par renvoi des art. 91 et 99 LPA-VD). c) Le recourant, qui obtient gain de cause en étant représenté par un mandataire professionnel, a droit à des dépens, dont le montant peut être arrêté à 1'500 fr. vu l’importance et la complexité de la cause, lesquels seront portés à la charge de l’intimé (art. 61 let. g LPGA ; art. 55 LPA-VD, applicable par renvoi des art. 91 et 99 LPA-VD). Par ces motifs,</w:t>
      </w:r>
    </w:p>
    <w:p>
      <w:r>
        <w:t>- 22 - la Cour des assurances sociales p r o n o n c e : I. Le recours est admis. II. La décision rendue le 25 février 2019 est annulée, la cause étant renvoyée à l’Office de l’assurance-invalidité pour le canton de Vaud pour instruction complémentaire dans le sens des considérants. III. Les frais judiciaires, arrêtés à 400 fr. (quatre cents francs), sont mis à la charge de l’Office de l’assurance-invalidité pour le canton de Vaud. IV. L'Office de l'assurance-invalidité pour le canton de Vaud versera à B.________ une indemnité de 1'500 fr. (mille cinq cents francs) à titre de dépens. La présidente : La greffière : Du L'arrêt qui précède, dont la rédaction a été approuvée à huis clos, est notifié, par l'envoi de photocopies, à : - PROCAP, Service juridique, à Bienne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- 23 -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