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ZD19.010658 vom 15. April 2020</w:t>
      </w:r>
    </w:p>
    <w:p>
      <w:r>
        <w:t>VD Tribunal cantonal, 2020-04-15, FR</w:t>
      </w:r>
    </w:p>
    <w:p>
      <w:r>
        <w:rPr>
          <w:b/>
        </w:rPr>
        <w:t xml:space="preserve">Quelle: </w:t>
      </w:r>
      <w:r>
        <w:t>https://mcp.opencaselaw.ch/entscheid/vd_gerichte_ZD19.010658</w:t>
      </w:r>
    </w:p>
    <w:p>
      <w:r>
        <w:t>FR: VD_GERICHTE ZD19.010658 du 15 avril 2020</w:t>
      </w:r>
    </w:p>
    <w:p>
      <w:r>
        <w:t>IT: VD_GERICHTE ZD19.010658 del 15 aprile 2020</w:t>
      </w:r>
    </w:p>
    <w:p>
      <w:pPr>
        <w:pStyle w:val="Heading2"/>
      </w:pPr>
      <w:r>
        <w:t>Erwägungen</w:t>
      </w:r>
    </w:p>
    <w:p>
      <w:r>
        <w:rPr>
          <w:b/>
        </w:rPr>
        <w:t>E. 1</w:t>
      </w:r>
    </w:p>
    <w:p>
      <w:r>
        <w:t>a) Les dispositions de la LPGA (loi fédérale du 6 octobre 2000 sur la partie générale du droit des assurances sociales ; RS 830.1) s’appliquent à l'assurance-invalidité, sous réserve de dérogations expresses prévues par la LAI (art. 1 al. 1 LAI [loi fédérale du 19 juin 1959 sur l’assurance-invalidité ; RS 831.20). Les décisions sur opposition et celles contre lesquelles la voie de l'opposition n'est pas ouverte sont sujettes à recours auprès du tribunal des assurances compétent (art. 56 et 58 LPGA). L'art. 69 al. 1 let. a LAI dispose qu'en dérogation aux art. 52 LPGA (instaurant une procédure d'opposition) et 58 LPGA (consacrant la compétence du tribunal des assurances du canton de domicile de l'assuré ou d'une autre partie au moment du dépôt du recours), les décisions des offices AI cantonaux peuvent directement faire l'objet d'un recours devant le tribunal des assurances du domicile de l'office concerné. b) Dans le canton de Vaud, la procédure de recours est régie par la LPA-VD (loi du 28 octobre 2008 sur la procédure administrative ; BLV 173.36), qui s'applique notamment aux recours dans le domaine des assurances sociales (art. 2 al. 1 let. c LPA-VD) et prévoit à cet égard la compétence de la Cour des assurances sociales du Tribunal cantonal (art. 93 let. a LPA-VD). c) Interjeté en temps utile devant le tribunal compétent et satisfaisant aux autres conditions de forme prévues par la loi (art. 61 let. b LPGA et 79 LPA-VD), le recours est recevable.</w:t>
      </w:r>
    </w:p>
    <w:p>
      <w:r>
        <w:rPr>
          <w:b/>
        </w:rPr>
        <w:t>E. 2</w:t>
      </w:r>
    </w:p>
    <w:p>
      <w:r>
        <w:t>Le litige a pour objet le degré d’invalidité de la recourante, singulièrement la capacité résiduelle de travail fondant le calcul correspondant et le revenu d’invalide déterminant. Ce litige s’inscrit dans le cadre de la seconde demande de prestations formulée par la recourante.</w:t>
      </w:r>
    </w:p>
    <w:p>
      <w:r>
        <w:rPr>
          <w:b/>
        </w:rPr>
        <w:t>E. 3</w:t>
      </w:r>
    </w:p>
    <w:p>
      <w:r>
        <w:t>a) En vertu de l’art. 17 al. 1 LPGA, si le taux d’invalidité du bénéficiaire de la rente subit une modification notable, la rente est,</w:t>
      </w:r>
    </w:p>
    <w:p>
      <w:r>
        <w:t>- 10 - d’office ou sur demande, révisée pour l’avenir, à savoir augmentée ou réduite en conséquence, ou encore supprimée. Tout changement important des circonstances, propre à influencer le degré d’invalidité, donc le droit à la rente, peut donner lieu à une révision de celle-ci au sens de l’art. 17 LPGA (ATF 141 V 9 consid. 2.3). Cette disposition est applicable par analogie en cas de nouvelle demande de prestation, comme c’est le cas en l’espèce (ATF 133 V 108 consid. 5.2). b) Aux termes de l’art. 8 al. 1 LPGA, est réputée invalidité l’incapacité de gain totale ou partielle qui est présumée permanente ou de longue durée. L’invalidité peut résulter d’une infirmité congénitale, d’une maladie ou d’un accident (art. 4 al. 1 LAI). En vertu de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w:t>
      </w:r>
    </w:p>
    <w:p>
      <w:r>
        <w:rPr>
          <w:b/>
        </w:rPr>
        <w:t>E. 4</w:t>
      </w:r>
    </w:p>
    <w:p>
      <w:r>
        <w:t>et les références citées ; TF 8C_160/2016 du 2 mars 2017 consid. 4.1 ; TF 8C_862/2008 du 19 août 2009 consid. 4.2). b) Selon le principe de la libre appréciation des preuves (art. 61 let. c LPGA),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 TF 8C_75/2017 du 24 octobre 2017 consid. 3.4).</w:t>
      </w:r>
    </w:p>
    <w:p>
      <w:r>
        <w:rPr>
          <w:b/>
        </w:rPr>
        <w:t>E. 5</w:t>
      </w:r>
    </w:p>
    <w:p>
      <w:r>
        <w:t>En l’occurrence, la recourante a fait l’objet d’investigations approfondies sur les plans somatique et psychique à l’occasion de l’expertise conduite au sein du Centre X.________. a) Le volet psychique a été analysé par la Dre W.________, notamment eu égard aux indicateurs pertinents dégagés par la récente jurisprudence fédérale (cf. à cet égard : ATF 141 V 574 et 143 V 418). Cette spécialiste n’a retenu aucun diagnostic psychiatrique, en l’absence des éléments florides de la lignée dépressive, d’anxiété, de trouble affectif ou de psychose. Faute de problématique psychique avérée, aucun traitement n’était mis en œuvre. La recourante ne mentionnait d’ailleurs</w:t>
      </w:r>
    </w:p>
    <w:p>
      <w:r>
        <w:t>- 12 - aucune plainte de ce registre en dépit de ses algies (cf. rapport d’expertise du Centre X.________ du 13 novembre 2017, p. 61 et 62). La Dre W.________ a dès lors conclu à l’absence des « éléments objectifs pour retenir une incapacité de travail, même partielle » (cf. rapport complémentaire du 5 février 2018, p. 3). Les conclusions de la Dre W.________ apparaissent convaincantes et ne sont remises en question par aucun des médecins consultés par la recourante, ni du reste par la recourante elle-même, de sorte qu’il y a lieu de s’y rallier. b) Quant à l’aspect somatique, la Dre V.________ a procédé à une analyse extrêmement minutieuse de l’ensemble des diagnostics évoqués dans le cas de la recourante. Elle a en définitive retenu ceux d’une insuffisance de la musculature fessière à droite, de dorsalgies multifactorielles, d’un possible syndrome d’Ehlers-Danlos de type III et de maladie de Crohn, estimant que la capacité de travail de la recourante était préservée à un taux de 50 %. Elle a mis en évidence les éléments suivants dans le contexte de l’appréciation consensuelle du cas (cf. rapport d’expertise du 13 novembre 2017, p. 71 et 72) : « Mme B.________ présente un déconditionnement physique sévère avec une insuffisance musculaire, des raccourcissements tendino- musculaires des chaînes postérieures qui rendent désormais impossible d'envisager la reprise de son métier de peintre en carrosserie. Elle a probablement effectué son apprentissage et sa reprise de travail après sa dernière opération orthopédique « en-dessus » de ses forces, comme peintre en carrosserie pour des raisons qui nous sont difficiles à définir. Malgré cette constatation qui apparaît évidente au plan somatique, et malgré l'arrêt de cette activité depuis juin 2015, Mme parle encore en cours d'expertise d'un travail qu'elle aimait et pour lequel elle se sentait des dispositions. Elle est déçue de n'avoir pas pu continuer dans ce métier. Dans ce contexte de séquelles post-chirurgicales orthopédiques lourdes, elle présente un état douloureux dépassant l'entité anatomique des sites lésionnels. Mme apparaît très préoccupée par le diagnostic de maladie d'Ehlers- Danlos. Elle attribue à cette maladie génétique orpheline l'ensemble de ses problèmes actuels. De fait, elle s'est vu prescrire des moyens auxiliaires importants, avec une chaise roulante pour se déplacer au-delà de 10 minutes,</w:t>
      </w:r>
    </w:p>
    <w:p>
      <w:r>
        <w:t>- 13 - un matelas et un coussin anti-escarre, une oxygénothérapie intermittente. Une ascension de la pyramide thérapeutique est en cours avec des antalgiques majeurs, des techniques antalgiques invasives (infiltrations épidurales de corticostéroïdes, entre autre). Si l'observation dans le futur permet de confirmer ce syndrome d'Ehlers-Danlos, les critères diagnostiques chez Mme B.________ ne sont actuellement pas alarmants. D'expérience, les patients présentant une hyperlaxité ligamentaire de type III ne sont pas invalides. L'éducation thérapeutique de ces patients, par leurs rhumatologues, leurs rééducateurs, physiatres, physiothérapeutes, ergothérapeutes, permet de leur épargner les surcharges articulaires mécaniques et permettent d'envisager une vie normale s'ils ne s'exposent pas au-delà de ces limites. Ils sont à risque en effet de développer des hernies discales ou des arthoses précoces en cas de sur-sollicitation mécanique. Mme B.________ n'en n'est pas là, au contraire, elle devient de plus en plus grabataire et s'aggrave malgré l'absence d'exposition mécanique de son appareil locomoteur. La coexistence d'une maladie de Crohn nécessitant une immunosuppression ne ressort pas de mes compétences et je vous réfère sur ce point au Prof. T.________. […] Consensuellement, nous reconnaissons à Mme une IT [réd. : incapacité de travail] de 50 % dans un travail adapté et dans la réadaptation, et rétroactivement depuis juin 2015. […] L'état de santé nous paraît permettre, en tenant compte de tous les éléments, compatible avec cela. […] » La Dre V.________ a par ailleurs réitéré son appréciation et détaillé les limitations fonctionnelles de la recourante à l’occasion du complément fourni à la demande de l’intimé (cf. complément du 5 février 2018, p. 1) : « […] Mme [doit] avoir un travail léger ce qui implique des ports de charges inférieures à 5 kg, semi-sédentaire (pas plus de 5h/j au total en position assise fixe) sans nécessité de travailler en hauteur les bras levés, ni en zone basse, ni sur sol instable. […J’] admets cette IT de 50 % qui se rattache à celle rapportée par le Dr T.________ en raison de la maladie de Crohn selon son rapport du 26.01.2017 qui apparaît toujours en cours. » c) In casu, on peut observer que l’appréciation globale des expertes du Centre X.________ quant à une capacité de travail résiduelle de 50 % dans une activité adaptée concorde avec les opinions exprimées par les spécialistes traitants, notamment les Prof. F.________ et T.________ (cf. rapports des 31 août 2016, 20 décembre 2016 et 19 mars 2017). Sont seuls divergents les avis des Drs L.________ et S.________. S’agissant du</w:t>
      </w:r>
    </w:p>
    <w:p>
      <w:r>
        <w:t>- 14 - rapport du Dr L.________ du 30 novembre 2015, ce dernier a fait état de l’impossibilité de la recourante d’effectuer l’ensemble des activités usuelles et considéré qu’elle était durablement incapable de travailler. Il n’a toutefois aucunement étayé son appréciation et s’est limité à mentionner « une exacerbation des douleurs dorsales » sans autre précision. Les rapports d’imagerie annexés à son rapport médical ne faisaient au demeurant pas état de pathologies dorsales significatives. Dès lors, on ne voit pas que l’avis du Dr L.________ puisse être suivi. Quant au Dr S.________, en présence de limitations fonctionnelles compatibles avec celles mises en évidence par le Centre X.________, il s’est tout d’abord essentiellement fondé sur l’activité déployée par la recourante au sein de l’entreprise de son père. Il a ainsi pris en compte une exigibilité limitée à 25-30 % (cf. rapport du 16 septembre 2016). Dans un rapport subséquent du 28 novembre 2018, il a réitéré cette appréciation divergente, estimant que le taux maximal de 25-30 % valait pour toute activité adaptée. Or, ainsi que l’a souligné le SMR dans son avis final du 7 janvier 2019, les explications du Dr S.________ du 28 novembre 2018 n’apportent aucun élément nouveau ou inconnu des expertes du Centre X.________. Ces explications sont au demeurant superposables à celles rapportées le 16 septembre 2016. Elles ne suffisent pas à ébranler les conclusions du Centre X.________, ni du reste les appréciations des Prof. F.________ et T.________. On ajoutera que la recourante a été en mesure de démontrer concrètement une capacité résiduelle de travail de 50 %, dans une activité légère et sédentaire, adaptée à son état de santé, durant plusieurs semaines à l’occasion du stage COPAI effectué au Centre A.________ (cf. rapport dudit centre du 11 novembre 2016). En définitive, la capacité résiduelle de travail de 50 % dans une activité respectant les restrictions fonctionnelles énoncées doit être ici confirmée. Dans ce contexte, on ne voit pas que la mise en œuvre d’une nouvelle expertise et l’audition du Dr S.________ seraient susceptibles d’apporter un nouvel éclairage médical. Il y a dès lors lieu de rejeter les conclusions de la recourante en vue de ces mesures d’instruction</w:t>
      </w:r>
    </w:p>
    <w:p>
      <w:r>
        <w:t>- 15 - complémentaire par appréciation anticipée des preuves (cf. à ce sujet : ATF 124 V 90 consid. 4b ; 122 V 157 consid. 1d ; 119 V 335 consid. 3c et 104 V 209 consid. a).</w:t>
      </w:r>
    </w:p>
    <w:p>
      <w:r>
        <w:rPr>
          <w:b/>
        </w:rPr>
        <w:t>E. 6</w:t>
      </w:r>
    </w:p>
    <w:p>
      <w:r>
        <w:t>a) Chez les assurés qui exerçaient une activité lucrative à plein temps avant d’être atteints dans leur santé physique, mentale ou psychique, il y a lieu de déterminer l’ampleur de la diminution des possibilités de gain de l’assuré, en comparant le revenu qu’il aurait pu obtenir s’il n’était pas invalide avec celui qu’il pourrait obtenir en exerçant l’activité qui peut raisonnablement être exigée de lui après les traitements et les mesures de réadaptation, sur un marché du travail équilibré (art. 28a al. 1 LAI en corrélation avec l’art. 16 LPGA). La comparaison des revenus s’effectue, en règle générale, en chiffrant aussi exactement que possible les montants de ces deux revenus et en les confrontant l’un avec l’autre, la différence permettant de calculer le taux d’invalidité. Dans la mesure où ces revenus ne peuvent être chiffrés exactement, ils doivent être estimés d’après les éléments connus dans le cas particulier, après quoi l’on compare entre elles les valeurs approximatives ainsi obtenues (ATF 128 V 29 consid. 1). b) Lorsqu'il s'agit d'examiner dans quelle mesure un assuré peut encore exploiter économiquement sa capacité de travail résiduelle sur le marché du travail entrant en considération pour lui, on ne saurait subordonner la concrétisation des possibilités de travail et des perspectives de gain à des exigences excessives.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d'œuvre (TF 9C_633/2016 du 28 décembre 2016 consid. 4.2 ; 8C_466/2015 du 26 avril 2016 consid. 3.2.2 et 8C_761/2014 du 15 octobre 2015 consid. 3.2.2). On ne saurait toutefois se fonder sur des possibilités de travail irréalistes. Ainsi, on ne peut parler d'une activité exigible au sens de l'art. 16 LPGA, lorsqu'elle ne peut être exercée que sous une forme tellement restreinte</w:t>
      </w:r>
    </w:p>
    <w:p>
      <w:r>
        <w:t>- 16 - qu'elle n'existe pratiquement pas sur le marché général du travail ou que son exercice suppose de la part de l'employeur des concessions irréalistes et que, de ce fait, il semble exclu de trouver un emploi correspondant (TF 9C_286/2015 du 12 janvier 2016 consid. 4.2 ; 9C_329/2015 du 20 novembre 2015 consid. 7.2 et 9C_496/2015 du 28 octobre 2015 consid. 3.2). c) En l’espèce, contrairement à ce que soutient la recourante, les limitations fonctionnelles retenues par l’intimé ne sont pas susceptibles d’entraver la mise à profit d’une capacité résiduelle de travail de 50 % sur le marché de l’emploi équilibré. La recourante est en effet en mesure d’exercer une activité de téléphoniste-réceptionniste au taux médicalement indiqué. Elle a d’ailleurs démontré cette capacité à l’occasion du stage d’observation professionnelle COPAI, où des rendements dans la norme et un potentiel important de réinsertion – soit de bonnes capacités d’apprentissage et d’intégration à un groupe – ont été constatés (cf. rapport du Centre A.________ du 11 novembre 2016, p. 3 et 4). Il n’y a donc pas lieu de considérer que la recourante est dénuée de toutes perspectives réalistes de gain.</w:t>
      </w:r>
    </w:p>
    <w:p>
      <w:r>
        <w:rPr>
          <w:b/>
        </w:rPr>
        <w:t>E. 7</w:t>
      </w:r>
    </w:p>
    <w:p>
      <w:r>
        <w:t>a) Pour fixer le revenu sans invalidité, il faut établir ce que la personne assurée aurait, au degré de la vraisemblance prépondérante, réellement pu obtenir au moment déterminant si elle n'était pas invalide. Le revenu sans invalidité doit être évalué de la manière la plus concrète possible, c'est pourquoi il se déduit en principe du salaire réalisé en dernier lieu par la personne assurée avant l'atteinte à la santé, en tenant compte de l'évolution des salaires. Ce n'est qu'en présence de circonstances particulières qu'il peut se justifier qu'on s'en écarte et qu'on recoure aux données statistiques résultant de l'Enquête suisse sur la structure des salaires (ESS), édictée par l'Office fédéral de la statistique (OFS ; ATF 134 V 322 consid. 4.1). In casu, l’intimé a déterminé le revenu annuel hypothétique sans invalidité de la recourante en se référant à l’ESS dans l’activité de peintre en carrosserie. On dispose toutefois de renseignements fiables et</w:t>
      </w:r>
    </w:p>
    <w:p>
      <w:r>
        <w:t>- 17 - concrets communiqués par l’employeur de la recourante (cf. rapport du 8 janvier 2016, complété par la Carrosserie C.________Sàrl). Cet employeur a fait part d’un salaire mensuel de 4'600 fr., versé douze fois l’an dès janvier 2015, ce qui correspond à 55'200 fr. par année. Après actualisation à l’année de référence 2016, au moyen de l’Indice suisse des salaires nominaux (ISS ; + 0,8 % ; Evolution des salaires nominaux 1993 – 2018), le revenu hypothétique sans invalidité se monterait ainsi à 55'673 fr. en 2016. Dans la mesure où l’intimé a pris en considération un revenu plus favorable à la recourante, chiffré à 56'612 fr., on retiendra cependant ce dernier montant au titre de revenu hypothétique sans invalidité déterminant. b) Selon la jurisprudence, le revenu d'invalide doit être évalué avant tout en fonction de la situation professionnelle concrète de la personne assurée. Si l'activité exercée après la survenance de l'atteinte à la santé repose sur des rapports de travail particulièrement stables, qu'elle met pleinement en valeur la capacité de travail résiduelle exigible et encore que le gain obtenu correspond au travail effectivement fourni et ne contient pas d'éléments de salaire social, c'est le revenu effectivement réalisé qui doit être pris en compte pour fixer le revenu d'invalide. En l’absence d’un revenu effectivement réalisé – soit lorsque la personne assurée, après la survenance de l’atteinte à la santé, n’a pas repris d’activité lucrative ou alors aucune activité normalement exigible –, le revenu d’invalide est évalué sur la base de salaires ressortant de l’ESS (ATF 129 V 472 consid. 4.2.1 ; 126 V 76 consid. 3a/bb ; 124 V 323 consid. 3b/bb). Le montant ressortant des statistiques peut faire l'objet d'un abattement pour prendre en considération certaines circonstances propres à la personne intéressée et susceptibles de limiter ses perspectives salariales (limitations liées au handicap, à l'âge, aux années de service, à la nationalité/catégorie d'autorisation de séjour et au taux d'occupation) ; une déduction globale maximum de 25 % sur le salaire statistique permet de tenir compte des différents éléments qui peuvent ainsi influencer le revenu d'une activité lucrative (ATF 134 V 322 consid. 5.2 ; 126 V 75 consid. 5b/aa-cc). Le pouvoir d’examen de l’autorité judiciaire de première</w:t>
      </w:r>
    </w:p>
    <w:p>
      <w:r>
        <w:t>- 18 - instance n'est pas limité dans ce contexte à la violation du droit (y compris l’excès ou l’abus du pouvoir d’appréciation), mais s’étend également à l’opportunité de la décision administrative. En ce qui concerne l’opportunité de la décision en cause, l’examen porte sur le point de savoir si une autre solution que celle que l’autorité, dans un cas concret, a adoptée dans le cadre de son pouvoir d’appréciation et en respectant les principes généraux du droit, n’aurait pas été plus judicieuse quant à son résultat. Ainsi, la juridiction cantonale, lorsqu’elle examine l’usage qu’a fait l’administration de son pouvoir d’appréciation pour fixer l’étendue de l’abattement sur le revenu d’invalide, doit porter son attention sur les différentes solutions qui s’offraient à l’organe de l’exécution de l’assurance-invalidité et voir si un abattement plus ou moins élevé, mais limité à 25 %, serait mieux approprié et s’imposerait pour un motif pertinent, sans toutefois substituer sa propre appréciation à celle de l’administration (ATF 137 V 71 consid. 5.2). Le salaire de référence pour des femmes exerçant des tâches physiques ou manuelles simples dans le secteur privé (production et services) était, en 2016, de 4’363 fr. par mois, part au treizième salaire comprise (ESS 2016, tableau TA1_skill-level, niveau de qualification 1), soit 54’581 fr. par an compte tenu de la durée hebdomadaire de travail dans les entreprises de 41,7 heures en 2016 (Indicateurs du marché du travail 2019 ; TA2.1). On aboutit ainsi à un revenu de 27’291 fr. pour une activité exercée au taux de 50 %. Contrairement à ce que soutient la recourante, on peut considérer qu’un abattement de 5 % sur le salaire statistique tient adéquatement compte de sa situation globale, soit des limitations fonctionnelles qui restreignent sa capacité de travail à un mi-temps. A l’instar de l’intimé, on peut observer au surplus que la recourante, de nationalité suisse et de langue maternelle française, est jeune et dotée de bonnes capacités d’adaptation. Elle a démontré, par le passé, avoir eu les ressources pour reprendre son activité lucrative de choix lorsque les circonstances l’imposaient. Par conséquent, on ne voit aucune raison de procéder à un abattement supérieur au taux de 5 % retenu par l’intimé.</w:t>
      </w:r>
    </w:p>
    <w:p>
      <w:r>
        <w:t>- 19 - Déduction faite, le revenu d’invalide déterminant se monte à 25'926 francs. c) Le degré d’invalidité de la recourante s’élève ainsi à 54,2 % ([56'612 – 25’926 x 100] / 56’612), arrondi à 54 %.</w:t>
      </w:r>
    </w:p>
    <w:p>
      <w:r>
        <w:rPr>
          <w:b/>
        </w:rPr>
        <w:t>E. 8</w:t>
      </w:r>
    </w:p>
    <w:p>
      <w:r>
        <w:t>a) L'art. 28 al. 1 LAI prévoit que l'assuré a droit à une rente aux conditions cumulatives suivantes : sa capacité de gain ou sa capacité d’accomplir ses travaux habituels ne peut pas être rétablie, maintenue ou améliorée par des mesures de réadaptation raisonnablement exigibles (let. a) ; il a présenté une incapacité de travail (art. 6 LPGA) d’au moins 40 % en moyenne durant une année sans interruption notable (let. b) ; au terme de cette année, il est invalide (art. 8 LPGA) à 40 % au moins (let. c). Aux termes de l’art. 28 al. 2 LAI, l’assuré a droit à une rente d'invalidité s’il est invalide à 40 % au moins ; la rente est échelonnée selon le degré d'invalidité, un degré d'invalidité de 40 % au moins donnant droit à un quart de rente, un degré d'invalidité de 50 % au moins donnant droit à une demi-rente, un degré d'invalidité de 60 % au moins donnant droit à trois-quarts de rente et un degré d'invalidité de 70 % au moins donnant droit à une rente entière. Selon l’art. 29 al. 1 LAI, le droit à la rente prend naissance au plus tôt à l’échéance d’une période de six mois à compter de la date à laquelle l’assuré a fait valoir son droit aux prestations conformément à l’art. 29 al. 1 LPGA. La rente est versée dès le début du mois au cours duquel le droit prend naissance (art. 29 al. 3 LAI). b) A teneur de l’art. 29bis RAI (règlement du 17 janvier 1961 sur l’assurance-invalidité ; RS 831.201), si la rente a été supprimée du fait de l’abaissement du taux d’invalidité et que l’assuré, dans les trois ans qui suivent, présente à nouveau un taux d’invalidité ouvrant le droit à la rente en raison d’une incapacité de travail de même origine, on déduira de la période d’attente que lui imposerait l’art. 28 al. 1 LAI, celle qui a précédé le premier octroi.</w:t>
      </w:r>
    </w:p>
    <w:p>
      <w:r>
        <w:t>- 20 - L’augmentation de la rente, de l’allocation pour impotent ou de la contribution d’assistance prend effet, au plus tôt si la révision a été demandée par l’assuré, dès le mois où cette demande est présentée en vertu de l’art. 88bis RAI. Selon la jurisprudence, dans le cas d’une nouvelle demande déposée dans les trois ans suivant la suppression d’une rente d’invalidité, lorsque l’invalidité donnant droit à une rente doit être à nouveau ramenée à la même affection que celle qui était à l’origine de l’ancienne invalidité, l’art. 29bis RAI est applicable seulement au calcul de la période d’attente selon l’art. 28 al. 1, let. b, LAI, mais pas à la détermination de la période d’attente selon l’art. 29 al. 1 LAI (ATF 142 V 547 consid. 3). Le Tribunal fédéral a eu l’occasion de préciser que, conformément à la jurisprudence relative à l’art. 29 al 3 LPGA, la date déterminante quant à l’observation des délais et aux effets juridiques d’une demande est celle à laquelle la requête a été remise à la poste ou déposée auprès de l’administration (TF 9C_573/2017 du 23 janvier 2018 consid. 5 et référence citée). c) En l’espèce, le degré d’invalidité de 54 % ouvre le droit à une demi-rente d’invalidité en faveur de la recourante, ainsi que l’a retenu la décision incriminée (cf. art. 28 al. 2 LAI). L’invalidité est causée par la même atteinte à la santé que celle qui a fondé l’octroi initial de la rente. L’art. 88bis al. 1 RAI est donc applicable et l’on doit renoncer au délai d’attente d’une année. En revanche, l’art. 29 al. 1 LAI relatif au délai de six mois depuis la nouvelle demande reste applicable, conformément à la jurisprudence précitée. La recourante a formulé la demande de réexamen de son cas dans un courrier non daté, parvenu à l’intimé le 25 septembre 2015. L’intimé a certes sollicité le dépôt d’une demande formelle de prestations par pli du 28 septembre 2015, auquel la recourante a donné suite le 4 octobre 2015. Est néanmoins déterminante, s’agissant d’une demande de révision, la date à laquelle la requête a été remise à la poste ou déposée auprès de l’intimé, soit en l’occurrence au</w:t>
      </w:r>
    </w:p>
    <w:p>
      <w:r>
        <w:t>- 21 - plus tard le 25 septembre 2015. Le délai de six mois dès le dépôt de la demande est donc échu dans le courant du mois de mars 2016, ce qui justifie le versement de la demi-rente d’invalidité avec effet au 1er mars 2016.</w:t>
      </w:r>
    </w:p>
    <w:p>
      <w:r>
        <w:rPr>
          <w:b/>
        </w:rPr>
        <w:t>E. 9</w:t>
      </w:r>
    </w:p>
    <w:p>
      <w:r>
        <w:t>a) En définitive, le recours doit être très partiellement admis et la décision attaquée réformée en ce sens que la recourante peut prétendre au versement d’une demi-rente d’invalidité avec effet au 1er mars 2016 (en lieu et place du 1er avril 2016). b) En dérogation à l’art. 61 let. a LPGA, la procédure de recours en matière de contestations portant sur l’octroi ou le refus de prestations de l’AI devant le tribunal cantonal des assurances est soumise à des frais de justice ; le montant des frais est fixé en fonction de la charge liée à la procédure, indépendamment de la valeur litigieuse, et doit se situer entre 200 et 1'000 fr. (art. 69 al. 1bis LAI). En l’espèce, compte tenu de l’ampleur de la procédure, les frais de justice peuvent être arrêtés à 400 fr. Ils seront mis à la charge de la recourante, dans la mesure où elle n’obtient pas gain de cause sur ses propres arguments, mais très partiellement sur une question qu’elle n’avait pas soulevée (art. 49 al. 1 LPA-VD, applicable par renvoi des art. 91 et 99 LPA-VD). c) La recourante, dont l’ensemble des arguments sont rejetés, n’a dès lors pas droit à des dépens (art. 61 let. g LPGA ; art. 55 LPA-VD, applicable par renvoi des art.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