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ZD19.008545 vom 5. Juli 2019</w:t>
      </w:r>
    </w:p>
    <w:p>
      <w:r>
        <w:t>VD Tribunal cantonal, 2019-07-05, FR</w:t>
      </w:r>
    </w:p>
    <w:p>
      <w:r>
        <w:rPr>
          <w:b/>
        </w:rPr>
        <w:t xml:space="preserve">Quelle: </w:t>
      </w:r>
      <w:r>
        <w:t>https://mcp.opencaselaw.ch/entscheid/vd_gerichte_ZD19.008545</w:t>
      </w:r>
    </w:p>
    <w:p>
      <w:r>
        <w:t>FR: VD_GERICHTE ZD19.008545 du 5 juillet 2019</w:t>
      </w:r>
    </w:p>
    <w:p>
      <w:r>
        <w:t>IT: VD_GERICHTE ZD19.008545 del 5 luglio 2019</w:t>
      </w:r>
    </w:p>
    <w:p>
      <w:pPr>
        <w:pStyle w:val="Heading2"/>
      </w:pPr>
      <w:r>
        <w:t>Erwägungen</w:t>
      </w:r>
    </w:p>
    <w:p>
      <w:r>
        <w:rPr>
          <w:b/>
        </w:rPr>
        <w:t>E. 4</w:t>
      </w:r>
    </w:p>
    <w:p>
      <w:r>
        <w:t>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 lucrative dans une profession adaptée (ATF 129 V 472 consid. 4.2.1 ; TF 9C_900/2009 du 27 avril 2010 consid. 3.3). Par ailleurs, l’assuré peut, selon sa situation personnelle, voir ses perspectives salariales être réduites par des facteurs tels que l’âge ou le handicap. Une évaluation globale des effets de ces circonstances sur le revenu d’invalide est nécessaire. La jurisprudence admet de procéder à une déduction de 25% au maximum pour en tenir compte (ATF 126 V 75).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w:t>
      </w:r>
    </w:p>
    <w:p>
      <w:r>
        <w:t>- 8 - lucrative à temps partiel. La méthode d’évaluation de l’invalidité pour les personnes partiellement actives et partiellement ménagères a été modifiée le 1er janvier 2018. En l’espèce, dès lors que la recourante présente une situation antérieure et postérieure à cette date, les méthodes relatives à chaque période seront appliquées.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129 V 1 consid. 1.2 et les références citées). c) Dans une situation antérieure 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[règlement du 17 janvier 1961 sur l’assurance-invalidité ; RS 831.201], dans sa teneur en vigueur jusqu’au 31 décembre 2017 ; ATF 137 V 334 ; 131 V 51 consid. 5.1.2).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w:t>
      </w:r>
    </w:p>
    <w:p>
      <w:r>
        <w:t>- 9 -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citées). d) Pour la situation postérieure au 1er janvier 2018,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w:t>
      </w:r>
    </w:p>
    <w:p>
      <w:r>
        <w:t>- 10 - d’activité, avant d’être additionnés pour fixer le taux d’invalidité globale. C’est la méthode mixte d’évaluation de l’invalidité (art. 28a al. 3 LAI et 27bis al. 2 à 4 RAI [dans sa teneur en vigueur dès le 1er janvier 2018]).</w:t>
      </w:r>
    </w:p>
    <w:p>
      <w:r>
        <w:rPr>
          <w:b/>
        </w:rPr>
        <w:t>E. 5</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t>- 11 -</w:t>
      </w:r>
    </w:p>
    <w:p>
      <w:r>
        <w:rPr>
          <w:b/>
        </w:rPr>
        <w:t>E. 6</w:t>
      </w:r>
    </w:p>
    <w:p>
      <w:r>
        <w:t>En l’espèce, il n’est pas contesté que la recourante n’est plus en mesure d’exercer son ancienne activité de coiffeuse. Alors que l’office intimé retient que la recourante dispose d’une capacité de travail de 100% dans une activité adaptée à ses limitations fonctionnelles, la recourante soutient de son côté que sa capacité de travail est totalement nulle. L’intimé a fait siennes les constatations du Dr F.________ et il n’y a pas lieu de s’écarter de ses conclusions, qui rejoignent d’ailleurs globalement les observations du médecin traitant R.________. L’examen rhumatologique remplit toutes les conditions auxquelles la jurisprudence soumet la valeur probante d’un tel document. En effet, le médecin a fondé son rapport sur un examen clinique complet et a pris en considération les plaintes exprimées par la recourante. Le rapport a été établi en pleine connaissance de l’anamnèse et du dossier médical. Pour le reste, la description de la situation et son appréciation sont claires et compréhensibles. La recourante n’émet pas de critiques objectives à l’égard du rapport du SMR, mais fait valoir ses plaintes subjectives et requiert l’allocation d’une rente. Elle indique notamment qu’elle ne peut pas rester debout plus d’une heure ; or cette limitation a été prise en compte dans l’évaluation des limitations fonctionnelles déterminant l’existence d’une activité adaptée. La détermination de l’ensemble des limitations fonctionnelles par le Dr F.________ et l’OAI est cohérente et motivée. Le médecin traitant a également conclu à une capacité de travail dans une activité sédentaire. La recourante ne dit pas en quoi les limitations fonctionnelles ne seraient pas correctement évaluées. Aucune pièce médicale versée au dossier ne justifie de s’écarter de l’examen rhumatologique qui est circonstancié. En l’absence d’avis médicaux susceptibles de jeter le doute quant au bien-fondé des conclusions du médecin du SMR, il y a lieu de retenir que la recourante présente depuis le</w:t>
      </w:r>
    </w:p>
    <w:p>
      <w:r>
        <w:rPr>
          <w:b/>
        </w:rPr>
        <w:t>E. 10</w:t>
      </w:r>
    </w:p>
    <w:p>
      <w:r>
        <w:t>août 2015 une incapacité totale de travail en toute activité, puis dès le 28 février 2017 une pleine capacité de travail dans une activité adaptée à ses limitations fonctionnelles, à savoir pas de génuflexions répétées, pas de franchissement d’escabeau ou d’échelle, pas de franchissement</w:t>
      </w:r>
    </w:p>
    <w:p>
      <w:r>
        <w:t>- 12 - régulier d’escaliers, pas de marche en terrain irrégulier, pas de position debout de plus d’une heure, pas de marche de plus d’une heure et pas de lever de charges de plus de 10kg. Fondé sur ces constatations, l’intimé a considéré à juste titre que la recourante était en mesure d’occuper un emploi simple et léger, n’exigeant pas de qualification particulière, dans le domaine de la production ou des services, tel que le contrôle qualité, un petit travail à l’établi, le montage-assemblage de pièces légères ou le conditionnement léger, respectant ses limitations fonctionnelles. En conséquence, l’évaluation de la capacité de travail et son exigibilité doivent être confirmées. 7. a) S’agissant du calcul du degré d’invalidité, l’intimé a distingué deux périodes. Admettant que la recourante aurait repris une activité lucrative à 50% si elle n’avait pas subi d’atteinte à sa santé, l’intimé a considéré qu’elle avait présenté une incapacité de travail totale du 10 août 2015 au 27 février 2017, de sorte que le préjudice correspondait à 100% de la part active évaluée à 50%, soit 50%. Pour ce qui concerne les empêchements dans la tenue du ménage, il a fixé à 10,05% le degré d’invalidité (soit 50% de 20,10%). Le degré d’invalidité pour cette période a ainsi été arrêté à 60,05%, ce qui ouvrait le droit à un trois-quarts de rente. A partir du 28 février 2017, l’OAI a considéré que sans atteinte à la santé l’assurée aurait perçu un revenu annuel brut de 27'399 fr. 73 en 2017 (ESS, tableau TA1_skill-level, niveau de compétence 1, soit 4'363 fr. par mois en 2016, indexé à 2017 et à 41,7 heures par mois, à 50%), compte tenu de l’absence de formation qualifiée et du domaine d’activité (coiffeuse) dans lequel l’assurée avait travaillé brièvement. Disposant d’une pleine capacité de travail dans une activité adaptée, elle était en mesure de réaliser le même revenu annuel brut de 27'399 fr. 73 en 2017</w:t>
      </w:r>
    </w:p>
    <w:p>
      <w:r>
        <w:t>- 13 - pour une activité non qualifiée dans le domaine de la production ou des services, sous déduction d’un abattement de 5% pour tenir compte de ses limitations fonctionnelles, soit 26'029 fr. 74. La perte de revenu étant de 1'369 fr. 99, le degré d’invalidité était de 5%, ce qui correspondait à 2,5% pour une part active de 50%. Au final, l’intimé a considéré que, dès le 28 février 2017, le degré d’invalidité était de 12,05% et n’ouvrait pas le droit à une rente. Appliquant la nouvelle méthode d’évaluation de l’invalidité pour les personnes partiellement actives et partiellement ménagères dès le 1er janvier 2018, l’OAI a constaté que le degré d’invalidité demeurait inchangé, compte tenu d’un revenu sans invalidité à plein temps de 55'018 fr. 65 et d’un revenu d’invalide à 100% de 52'267 fr. 72. L’OAI a ensuite relevé que le droit à trois-quarts de rente était ouvert dès le terme du délai de carence d’un an, soit le 10 août 2016, jusqu’au 31 mai 2017, soit à l’échéance du délai de trois mois d’amélioration de la capacité de gain. Cependant, la demande déposée le 30 mars 2017 était tardive, dès lors que la rente n’aurait pu être versée qu’à l’échéance d’un délai de six mois dès le dépôt de la demande, soit dès le 1er septembre 2017, date à laquelle le droit à la rente n’existait plus. b) Les revenus avec et sans invalidité tels qu’évalués sur la base de l’ESS ne sont pas contestés et ne prêtent pas le flanc à la critique. L’abattement de 5% retenu pour prendre en considération les limitations fonctionnelles peut également être approuvé. c) Il n’est pas contesté que la méthode mixte d’évaluation de l’invalidité est applicable au cas de la recourante. Elle n’exerçait pas d’activité lucrative lorsqu’elle a été atteinte dans sa santé, mais elle voulait reprendre une activité à temps partiel. Il n’y a pas lieu de remettre en cause le raisonnement opéré par l’office intimé, selon lequel la recourante aurait exercé une activité lucrative à 50% si elle n’avait pas été atteinte dans sa santé, compte tenu du jeune âge de son enfant cadet.</w:t>
      </w:r>
    </w:p>
    <w:p>
      <w:r>
        <w:t>- 14 - d)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En l’occurrence, on ne voit aucune raison de se distancer des observations consignées dans le rapport d’enquête économique sur le ménage, lequel met en évidence un taux d’empêchement de 20,10%. Ce document remplit toutes les exigences jurisprudentielles rappelées ci- dessus, étant précisé que la recourante ne fait valoir aucun grief à son encontre. e) Il résulte de ce qui précède que les degrés d’invalidité calculés par l’OAI en appliquant l’ancienne et la nouvelle méthode mixte d’évaluation sont corrects. Il y a lieu de confirmer également que le droit à un trois-quarts de rente était ouvert après un délai de carence d’un an (art. 28 LAI), soit dès le 10 août 2016, jusqu’au 31 mai 2017, mais qu’il ne pouvait prendre naissance qu’à l’échéance d’un délai de six mois après le dépôt de la demande (art. 29 LAI), soit dès le 1er septembre 2017, de sorte que la demande déposée le 30 mars 2017 est tardive.</w:t>
      </w:r>
    </w:p>
    <w:p>
      <w:r>
        <w:t>- 15 - 8. En définitive, le recours, mal fondé,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il convient de fixer les frais judiciaires à 400 fr. à charge de la recourante qui succombe et qui, pour ce motif, n’obtiendra pas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