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ZD19.007809 vom 23. November 2021</w:t>
      </w:r>
    </w:p>
    <w:p>
      <w:r>
        <w:t>VD Tribunal cantonal, 2021-11-23, FR</w:t>
      </w:r>
    </w:p>
    <w:p>
      <w:r>
        <w:rPr>
          <w:b/>
        </w:rPr>
        <w:t xml:space="preserve">Quelle: </w:t>
      </w:r>
      <w:r>
        <w:t>https://mcp.opencaselaw.ch/entscheid/vd_gerichte_ZD19.007809</w:t>
      </w:r>
    </w:p>
    <w:p>
      <w:r>
        <w:t>FR: VD_GERICHTE ZD19.007809 du 23 novembre 2021</w:t>
      </w:r>
    </w:p>
    <w:p>
      <w:r>
        <w:t>IT: VD_GERICHTE ZD19.007809 del 23 novembre 2021</w:t>
      </w:r>
    </w:p>
    <w:p>
      <w:pPr>
        <w:pStyle w:val="Heading2"/>
      </w:pPr>
      <w:r>
        <w:t>Erwägungen</w:t>
      </w:r>
    </w:p>
    <w:p>
      <w:r>
        <w:rPr>
          <w:b/>
        </w:rPr>
        <w:t>E. 6</w:t>
      </w:r>
    </w:p>
    <w:p>
      <w:r>
        <w:t>février 2017 au 30 juin 2018, une rente n’aurait pu lui être allouée que dès le 1er novembre 2018 (compte tenu du dépôt de la demande de prestations le 15 mai 2018), soit une fois que le droit n’était plus ouvert. S’agissant des limitations fonctionnelles, elles avaient été fixées par le médecin de l’assuré, le Dr M.________. Au surplus, il n’existait pas, dans la procédure d’octroi ou de refus de prestations d’assurances sociales, de droit formel à une expertise menée par un médecin externe à l’assurance. Dans ses observations du 6 mai 2019, l’assuré a indiqué que les conclusions du Dr M.________, qui ne l’avait vu qu’à trois reprises, n’étaient pas pertinentes. Le pronostic de reprise du travail à 100 % était d’ailleurs contredit par le certificat médical d’incapacité pour la période du 1er juillet au 31 octobre 2018, établi le 19 septembre 2018 par la Dre Q.________. L’assuré relevait également que des examens complémentaires devaient être conduits selon le rapport du 28 juin 2018 du W.________. Or, les résultats de ces examens ne figuraient pas au dossier de l’Office AI. L’Office AI a confirmé ses conclusions en date du 24 mai 2019. Le 30 septembre 2019, l’assuré a informé la Cour de céans avoir repris une activité lucrative au taux de 30 % auprès de son ancien employeur depuis le 1er août 2019, précisant se cantonner à l’activité de caissier, ne pouvant pas assumer d’autres tâches. Ce travail lui avait été confié par une personne proche, désirant lui venir en aide, mais il doutait de pouvoir assumer une activité professionnelle en milieu ordinaire, sans lien de proximité avec son employeur.</w:t>
      </w:r>
    </w:p>
    <w:p>
      <w:r>
        <w:t>- 5 - C. Par mandat du 23 août 2019, le juge instructeur a confié aux G.________ (ci-après : G.________) le soin de procéder à une expertise judiciaire bidisciplinaire (neurologie et médecine interne). Dans leur rapport du 10 février 2020, le Dr S.________, spécialiste en médecine interne générale, les Dr D.________, et Dre X.________, spécialiste en neurologie, électroencéphalographie et électroneuromyographie (ci- après : les experts des G.________ ou les experts judiciaires) ont notamment retenu ce qui suit : « 4.3. Constatations/diagnostics d’éléments ayant une incidence sur les capacités fonctionnelles L’expert interniste ne retient pas de diagnostic ayant une incidence sur les capacités fonctionnelles. Les experts neurologues retiennent le diagnostic de status post 2 exérèses d’une fistule artério-veineuse durale spinale T10-T11 avec une vessie neurogène et une fatigabilité, sans déficit moteur associé. Cette fatigabilité est incompatible avec le port de charges lourdes, une station debout et une marche prolongées. La vessie neurogène quant à elle, contraint l’assuré à procéder à plusieurs auto-sondages par jour. Il est donc important que son activité professionnelle lui permette de bénéficier d’un temps de pause adapté afin de gérer dans l’intimité ces gestes. (…) 4.7. Capacité de travail (CT) dans l’activité exercée jusqu’ici L’expertise de médecine interne ne retient pas de limitations fonctionnelles. La CT de l’assuré est donc de 100% dans tout type d’activité, et ce depuis le 1er.07.2018. L’expertise neurologie retient une CT de 75% pour l’activité de caissier dans un magasin d’alimentation depuis le 1er.07.2018 (date retenue par le Dr M.________ dans son rapport du 17.09.2018 sur lequel s’est basée l’AI dans sa décision). Sur la base des éléments précédents, le consensus pluridisciplinaire retient une CT dans l’activité jusque-là exercée de : - 0% du 06.02.2017 (date de l’arrêt de travail) au 30.06.2018. - 75% depuis le 1er.07.2018, pour une durée actuellement non évaluable. 4.8. Capacité de travail (CT) dans une activité adaptée L’expertise de médecine interne ne retient pas de limitations fonctionnelles. La CT de l’assuré est donc de 100% dans tout type d’activité, et ce depuis le 1er.07.2018. L’expertise neurologique retient une CT de 75% dans une activité adaptée depuis le 1er.07.2018 (date retenue par le Dr M.________ dans son rapport du 17.09.2018 sur lequel s’est basée l’AI dans sa décision). Une activité adaptée est une activité professionnelle ne requérant pas de port de</w:t>
      </w:r>
    </w:p>
    <w:p>
      <w:r>
        <w:t>- 6 - charges lourdes ni de station debout ou de marche prolongées. Elle permettrait également à l’assuré de gérer dans l’intimité les auto-sondages intermittents. Il faut, pour cela, anticiper environ 2-3 pauses par journée de travail, ce que nous estimons à environ 2 heures sur une journée de travail de 8 heures. En intégrant ces éléments, l’activité professionnelle actuelle de l’assuré peut être considérée comme une activité adaptée. Sur la base des éléments précédents, le consensus pluridisciplinaire retient une CT dans une activité adaptée aux limitations fonctionnelles de l’assuré de : - 0% du 06.02.2017 (date de l’arrêt de travail) au 30.06.2018. - 75% depuis le 1er.07.2018, pour une durée actuellement non évaluable. » Dans ses déterminations du 18 mars 2020, l’Office AI s’est rallié aux conclusions des experts, à la suite d’un avis du 9 mars 2020 du Dr H.________, médecin au Service médical régional (ci-après : SMR), lequel a indiqué que l’argumentation des neurologues l’avait convaincu s’agissant de la fatigabilité de la marche de l’assuré dans les pathologies incapacitantes en l’absence de troubles moteurs, que la vessie neurogène était parfaitement documentée et que les mesures médicales évoquées ne pouvaient être rendues exigibles car il s’agissait surtout de mesures pour confirmer les diagnostics et l’entretien sans impact réel sur l’augmentation de la capacité de travail. Par déterminations du 17 juin 2020, l’assuré a requis la conduite d’un complément d’expertise concernant la problématique des incontinences et des douleurs.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à la suite de sa demande du 15 mai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4. a) Pour pouvoir fixer le degré d’invalidité, l’administration – en cas de recours, le juge – se fonde sur des documents médicaux, ainsi que,</w:t>
      </w:r>
    </w:p>
    <w:p>
      <w:r>
        <w:t>- 8 -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w:t>
      </w:r>
    </w:p>
    <w:p>
      <w:r>
        <w:t>- 9 -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En l’espèce, l’intimé a considéré que le recourant disposait d’une pleine capacité de travail dès le 1er juillet 2018 dans une activité adaptée à ses limitations fonctionnelles (pas de soulèvement de charges supérieurs à 10 kg, pas de station debout prolongée, pas d’activités principalement en marchant, pas de montée et descente d’escaliers, et pas de marche sur terrain irrégulier). Le recourant a fait l’objet d’une expertise bidisciplinaire en dates des 7 novembre, 29 novembre et 26 décembre 2019 auprès des G.________. A l’issue de cette expertise, un rapport a été rendu le</w:t>
      </w:r>
    </w:p>
    <w:p>
      <w:r>
        <w:rPr>
          <w:b/>
        </w:rPr>
        <w:t>E. 10</w:t>
      </w:r>
    </w:p>
    <w:p>
      <w:r>
        <w:t>février 2020, duquel il ressort notamment que le recourant présente une capacité de travail dans une activité adaptée de 75 % depuis le 1er juillet 2018. Les experts judiciaires ont précisé qu’une activité adaptée correspondait à une activité ne requérant pas de port de charges lourdes ni de station debout ou de marche prolongées. Elle devait également permettre au recourant de gérer dans l’intimité les auto-sondages intermittents. Le recourant estime toutefois que ce rapport devrait être complété par un complément d’expertise. b) Le rapport d’expertise du 10 février 2020 contient une anamnèse complète selon les éléments du dossier sur le plan de médecine interne et neurologique ; les experts judiciaires relatent les examens cliniques réalisés, prennent en considération les plaintes du recourant. Les</w:t>
      </w:r>
    </w:p>
    <w:p>
      <w:r>
        <w:t>- 10 - experts judiciaires ont d’ailleurs décrit la vie quotidienne du recourant, exposé la prise en charge et les mesures thérapeutiques prescrites, évalué la cohérence et la plausibilité de même qu’ils ont examiné les capacités, ressources et difficultés du recourant. L’expertise contient une appréciation du cas très détaillée sur le plan de médecine interne et sur le plan neurologique, décrivant clairement le contexte médical et l’appréciation de la situation médicale. Il sied toutefois de constater que l’expert en médecin interne a noté que le recourant présentait une boiterie franche (cf. rapport d’expertise du 10 février 2020 p. 13). L’appréciation de l’expert neurologue à ce sujet est pour le moins lacunaire, ce praticien se contentant d’indiquer qu’il n’y a « pas d’argument ni à l’examen clinique, ni aux examens complémentaires, pour confirmer la présence d’un déficit moteur, permettant d’expliquer les troubles de la marche » (cf. ibid. p. 31). S’agissant en outre de la date de fin de l’incapacité de travail du recourant, les experts judiciaires se sont accordés de la fixer au 1er juillet 2018 sur la base du rapport du Dr M.________, sans motivation, alors même que le Dr M.________ n’a vu le recourant qu’à trois reprises. c) Les experts judiciaires ont également retenu, s’agissant des limitations fonctionnelles (cf. rapport du 10 février 2020, point 6.6, p. 31), que l’une des plaintes principales du recourant était ses troubles vésico- sphinctériens. Or, le dossier initial n’avait pas fourni d’évaluation sur le plan urinaire et fécal, par exemple un examen urodynamique. Sur requête du Dr S.________, les experts judiciaires avaient toutefois pu prendre connaissance d’un examen urodynamique réalisé le 14 novembre 2018, et dans lequel était confirmé la présence d’une vessie neurogène. L’incontinence urinaire n’était pas démontrée, contrairement à l’indication des sondages intermittents. Ces sondages intermittents étaient compatibles avec une diminution de la capacité de travail. A des fins diagnostiques, il leur paraissait nécessaire de réaliser à nouveau cet examen, étant précisé qu’ils n’avaient pas pu tester l’incontinence urinaire. Les experts judiciaires suspectaient en outre la présence d’une atteinte partielle du sphincter anal, compatible avec au moins un certain degré d’incontinence fécale, qu’il « rest[ait] à confirmer avec un examen</w:t>
      </w:r>
    </w:p>
    <w:p>
      <w:r>
        <w:t>- 11 - de type manométrie anorectale, voire endosonographie anale pour écarter d’autres potentielles étiologies ». Formellement, les experts judiciaires ne pouvaient retenir « l’incontinence anale comme diagnostic diminuant la capacité de travail sans examen complémentaire pouvant la confirmer ». Ces aspects n’ont pas été investigués plus avant d’un point de vue d’un spécialiste. On doit notamment relever que l’intimé disposait de rapports médicaux attestant de troubles sphinctériens urinaires et rectaux. Il ressort ainsi clairement du dossier que l’atteinte à la santé du recourant relève également d’une problématique urologique, voire aussi proctologique, les experts judiciaires soulignant la nécessité d’analyser cette problématique. Ces aspects, connus de l’intimé à la date de reddition de la décision litigieuse et non investigués, justifient de plus amples examens, notamment quant à leurs répercussions en termes de limitations fonctionnelles et de capacité de travail dans une activité adaptée. Il s’avère donc que l’instruction du cas est manifestement lacunaire. Par surabondance, la Cour de céans relèvera également la nécessité de procéder à une consultation spécialisée de la douleur, comme préconisée par les experts judiciaires, nécessaire pour évaluer la participation respective des composantes neurogène et mécanique (cf. ibid. p. 37). d) En définitive, l’expertise judiciaire ne permet pas de déterminer précisément les limitations fonctionnelles du recourant, ni de statuer sur sa capacité de travail effective. 6. Etant donné les carences dont souffre le dossier de la cause, on ne peut déterminer les répercussions des atteintes à la santé sur la capacité de travail du recourant, ni par voie de conséquence statuer sur son droit à une rente d’invalidité. Un complément d’instruction doit dès lors être mené à bien au préalable.</w:t>
      </w:r>
    </w:p>
    <w:p>
      <w:r>
        <w:t>- 12 - a)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 décisifs (ATF 139 V 99 consid. 1.1 ; 137 V 210 consid. 4.4.1.4 et 4.4.1.5). b) En l’espèce, il se justifie de renvoyer la cause à l’intimé, auquel il appartient au premier chef d’instruire conformément au principe inquisitoire qui régit la procédure dans le domaine des assurances sociales (art. 43 al. 1 LPGA). A ce titre, il y aura lieu de procéder à un complément du cas par un spécialiste sur les plans urologique et proctologique en vue de clarifier la capacité de travail effective du recourant, avant de soumettre ces renseignements au SMR pour un avis, l’intimé demeurant libre d’ordonner toutes autres mesures d’instruction utiles. Il appartiendra également à l’intimé de procéder à une réévaluation du recourant par un neurologue concernant les troubles de la marche évoqués supra et la motivation de l’incapacité de travail ainsi que d’interpeller les neurochirurgiens du W.________. Il lui appartiendra ensuite de rendre une nouvelle décision. 7. a) Il résulte de ce qui précède que le recours doit être admis et la décision attaquée annulée, la cause étant renvoyée à l’intimé pour complément d’instruction au sens des considérants.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w:t>
      </w:r>
    </w:p>
    <w:p>
      <w:r>
        <w:t>- 13 - Dans la mesure où l’intimé aurait déjà dû, au vu des pièces qu’il avait au dossier, compléter l’instruction en application de son devoir d’instruire la cause d’office (art. 43 al.1 LPGA), les frais d’expertise judiciaire, d’un montant de 4'010 fr. seront mis à sa charge (art. 45 al.1 LPGA ; cf. ATF 137 V 210 consid. 4.4 ; TF 9C_758/2019 consid. 3.2 du 4 février 2020).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