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ZD19.005792 vom 2. September 2019</w:t>
      </w:r>
    </w:p>
    <w:p>
      <w:r>
        <w:t>VD Tribunal cantonal, 2019-09-02, FR</w:t>
      </w:r>
    </w:p>
    <w:p>
      <w:r>
        <w:rPr>
          <w:b/>
        </w:rPr>
        <w:t xml:space="preserve">Quelle: </w:t>
      </w:r>
      <w:r>
        <w:t>https://mcp.opencaselaw.ch/entscheid/vd_gerichte_ZD19.005792</w:t>
      </w:r>
    </w:p>
    <w:p>
      <w:r>
        <w:t>FR: VD_GERICHTE ZD19.005792 du 2 septembre 2019</w:t>
      </w:r>
    </w:p>
    <w:p>
      <w:r>
        <w:t>IT: VD_GERICHTE ZD19.005792 del 2 settembre 2019</w:t>
      </w:r>
    </w:p>
    <w:p>
      <w:pPr>
        <w:pStyle w:val="Heading2"/>
      </w:pPr>
      <w:r>
        <w:t>Erwägungen</w:t>
      </w:r>
    </w:p>
    <w:p>
      <w:r>
        <w:rPr>
          <w:b/>
        </w:rPr>
        <w:t>E. 5</w:t>
      </w:r>
    </w:p>
    <w:p>
      <w:r>
        <w:t>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6</w:t>
      </w:r>
    </w:p>
    <w:p>
      <w:r>
        <w:t>En l’espèce, l’intimé est entré en matière sur la deuxième demande de prestations AI déposée par le recourant et a repris l'instruction en requérant notamment des avis médicaux auprès des</w:t>
      </w:r>
    </w:p>
    <w:p>
      <w:r>
        <w:t>- 19 - médecins ayant suivi ce dernier. Il convient dès lors d'examiner si, entre la dernière décision entrée en force du 14 mai 2013 et la décision litigieuse du 14 janvier 2019, l’état de santé de l’intéressé s’est modifié de façon à influencer son droit à des prestations AI. a) Par décision du 14 mai 2013, l’OAI a rejeté la première demande de prestations du recourant au motif qu’il ne présentait pas d’atteinte à la santé invalidante au sens de l’AI. L’intimé s’était en particulier fondé sur le rapport d’expertise pluridisciplinaire du 17 octobre 2012 établi sur mandat de l’assureur perte de gain du recourant. Sur le plan somatique, les experts avaient retenu que le recourant présentait des cervicobrachialgies droites avec un syndrome cervical important provoquant des irradiations dans le bras droit, sans toutefois que les bilans neurologiques et radiologiques ne permettent d’expliquer une symptomatologie aussi importante et surtout le blocage cervical majeur. L’expert neurologue n’avait d’ailleurs retenu aucune atteinte neurologique objectivable ayant une influence sur la capacité de travail qui restait entière. Sur le plan psychique, l’expert avait reconnu qu’il existait un décalage entre les plaintes douloureuses et l’absence d’atteinte organique et que ce fait suggérait la présence d’une majoration de symptômes physiques pour des raisons psychologiques. Ce trouble n’était toutefois pas invalidant et la capacité de travail restait entière et sans limitation. b) Le 20 février 2015, le recourant a déposé une seconde demande de prestations, en invoquant une aggravation de son état de santé. Il mentionnait en particulier qu’il souffrait toujours de cervicalgies en relation avec une discopathie C5-C6 et une radiculopathie C8 droite et que les douleurs étaient intenses. Après un projet de refus d’entrer en matière, l’OAI, se fondant notamment sur un certificat médical du Dr S.________ du 15 juin 2015, a estimé qu’une aggravation de l’état de santé du recourant était plausible au vu des douleurs qui s’étaient étendues au côté gauche depuis 2013 et d’une possible dégradation de l’état psychologique de celui-ci. L’OAI a alors recueilli divers avis médicaux avant d’ordonner une expertise médicale bidisciplinaire auprès du Centre</w:t>
      </w:r>
    </w:p>
    <w:p>
      <w:r>
        <w:t>- 20 - H.________, dès lors que la situation médicale n’était pas suffisamment claire. Les experts ont rendu leur rapport le 5 juillet 2018. aa) Sur le plan somatique, l’expert rhumatologue du Centre H.________ a relevé que les cervicobrachialgies décrites par l’expertisé étaient entièrement similaires à celles qui figuraient dans les descriptifs des rapports médicaux précédents, y compris dans la description de l’expertise de 2012, à l’exception d’une extension au membre supérieur gauche. Tous les médecins consultés s’accordaient à dire que le recourant souffrait d’une atteinte dégénérative des cervicales prédominantes en C5- C6, sans qu’une évolution notable ou une aggravation n’eût pu être constatée par des examens radiologiques ou par IRM. L’expert a également indiqué que les divers examens neurologiques effectués n’avaient pas permis d’objectiver de compression des structures nobles secondaires à l’atteinte dégénérative. De même, l’atteinte dégénérative de l’épaule droite, à savoir des lésions interstitielles tendineuses du sus- épineux et une arthrose acromio-claviculaire de l’épaule droite, ne trouvait pas de corrélation clinique. Les lésions non évolutives de nature dégénérative mises en évidence de manière répétée par les explorations radiologiques, en l’absence de compression neurologique, ne permettaient pas d’expliquer le caractère réfractaire des douleurs ressenties par l’expertisé, douleurs d’emblée constantes, diurnes et nocturnes, persistantes au fil des années, d’intensité maximale dès le départ, et restant totalement hors de l’influence de tous les traitements adéquats entrepris. Selon l’expert, ce tableau évoquait un seuil douloureux abaissé et une majoration de la symptomatologie que l’on retrouvait non seulement dans la description verbale de l’intéressé mais aussi dans ses réactions physiques lors de l’examen de la région concernée, ainsi que dans les répercussions fonctionnelles décrites et montrées par l’expertisé. L’expert notait que ces signes de surcharge possiblement psychogène avaient déjà été observés à différentes reprises par les Drs C.________ (cf. rapport du 16 mai 2014), M.________ (cf. rapport du 30 mars 2012) et F.________ (cf. rapport du 31 juillet 2013). En définitive, l’expert n’a retenu aucun diagnostic, sur le plan somatique, ayant un effet sur la capacité de travail.</w:t>
      </w:r>
    </w:p>
    <w:p>
      <w:r>
        <w:t>- 21 - A l’appui de son recours, le recourant a produit un rapport du 14 janvier 2019 du Dr V.________, médecin au sein du Centre d’antalgie du Centre hospitalier N.________, dans lequel celui-ci mentionne en particulier que le patient reste très limité par sa pathologie de cervicobrachialgies, qui est stabilisée avec le traitement actuel et les perfusions de Xylocaïne. Le médecin précité indique qu’il n’a pas d’autres propositions de traitement en l’état. Il mentionne qu’il ne lui paraît pas envisageable que le patient travaille du point de vue de l’impact fonctionnel que ses douleurs ont dans sa vie, tout en précisant que ni le port de la minerve, ni la médication ne pouvait être réduit. L’avis de ce médecin ne permet pas de remettre en cause les conclusions du rapport d’expertise du 5 juillet 2018. En particulier, le Dr V.________ ne pose pas de diagnostic nouveau. Il précise que la situation n’a pas beaucoup évolué du point de vue de l’antalgie, sans toutefois parler d’aggravation de l’état de santé du recourant du point de vue somatique. Au contraire, il évoque une stabilisation de la situation grâce au traitement actuel et aux perfusions de Xylocaïne. Le Dr V.________ n’explique en outre pas en quoi le recourant serait gêné dans l’exercice d’une activité adaptée à ses limitations fonctionnelles. Le recourant a également produit un certificat médical, daté du 7 janvier 2019, du Dr O.________ dans lequel ce médecin atteste qu’en raison de l’état de santé fragile imposant une lourde médication avec de nombreux effets secondaires, le recourant est dans l’incapacité d’effectuer un travail ou un emploi même à titre d’opérateur. Ce simple certificat médical, non motivé, ne suffit pas non plus à admettre une aggravation de l’état de santé du recourant et à s’écarter des conclusions du rapport d’expertise bidisciplinaire. Il y a ainsi lieu de se rallier à l’avis de l’expert rhumatologue en ce qui concerne le volet somatique. bb) Sur le plan psychiatrique, l’expert W.________ du Centre H.________ a posé le diagnostic d’anxiété généralisée et a précisé qu’il n’y</w:t>
      </w:r>
    </w:p>
    <w:p>
      <w:r>
        <w:t>- 22 - avait pas suffisamment de critères remplis pour retenir un trouble dépressif moyen sans syndrome somatique. L’expert a ainsi conclu à une capacité de travail entière, le seul diagnostic d’anxiété généralisée, de surcroît sans suivi psychiatrique, ne suffisant pas à retenir une incapacité de travail. En effet, le recourant a cessé tout suivi psychiatrique depuis le mois d’avril 2017 et l’expert psychiatre a constaté que le recourant prenait des doses médicamenteuses beaucoup plus faibles que celles prescrites ce qui faisait douter de la réalité des douleurs mentionnées. A cet égard, on relèvera que le Dr V.________, dans un rapport du 28 août 2014, préconisait déjà l’introduction d’un traitement antidépresseur à visée antalgique. Le 15 juin 2015, le Dr S.________ mentionnait l’apparition de symptômes dépressifs nécessitant un traitement psychiatrique et médicamenteux depuis le 10 avril 2015. Or ce n’est qu’en septembre 2016 que le recourant a débuté un suivi psychiatrique, lequel a été interrompu en avril 2017. Dans un courrier du 14 décembre 2017, le recourant a confirmé ce fait et a précisé qu’il n’avait pas repris de consultations auprès d’un autre médecin psychiatre depuis lors. On ne peut donc dans ce contexte retenir une aggravation de l’état de santé psychique du recourant. Quant à la Dre Q.________, si elle a certes posé le diagnostic d’épisode dépressif moyen sans syndrome somatique (cf. rapport du 17 janvier 2017 et questionnaire du 30 octobre 2017), ce médecin n’a pas été en mesure de décrire quelles étaient les constatations objectives actuelles, dès lors que le recourant n’était plus suivi auprès d’elle depuis avril 2017, ni de dire si les limitations fonctionnelles avaient changé, ni quelle était la capacité de travail du point de vue psychiatrique dans une activité adaptée. Le diagnostic posé, au demeurant non motivé, ne saurait ainsi discréditer le rapport d’expertise du Centre H.________. Aucune autre pièce médicale au dossier ne permet de mettre en doute les conclusions de l’expert W.________, si bien qu’il y a lieu de s’y rallier.</w:t>
      </w:r>
    </w:p>
    <w:p>
      <w:r>
        <w:t>- 23 - c) Ainsi, tant sur le plan somatique que sur le plan psychique, les avis médicaux au dossier ne contiennent aucun élément sérieux qui inciterait à douter des conclusions du rapport d’expertise rhumatologique et psychiatrique du 5 juillet 2018. De surcroît, l’appréciation des experts est fondée sur une analyse complète des pièces mises à disposition. Elle est bien expliquée et les conclusions médicales sont motivées de manière cohérente et convaincante. Il y a par conséquent lieu d'admettre que celles-ci répondent aux exigences jurisprudentielles en matière de valeur probante. Par ailleurs, le certificat de stage, daté du 15 janvier 2018, produit par le recourant, selon lequel le stage en entreprise initialement prévu pour trois semaines a dû être interrompu après trois heures compte tenu des douleurs au « cou » ressenties par le recourant, ne suffit pas non plus à faire douter des conclusions des experts du Centre H.________. D’une part, on ignore quelle était la nature de l’activité effectuée et si celle-ci respectait les limitations fonctionnelles du recourant ; d’autre part, il ressort du rapport d’expertise Centre H.________ que le recourant ne suit pas scrupuleusement le traitement médicamenteux qui lui est prescrit, si bien qu’il n’est pas possible, dans ce contexte, de tirer des conclusions du certificat produit. A cet égard, on relèvera que les experts du Centre H.________ ont clairement décrit en quoi l’activité habituelle exercée par le recourant respectait les limitations fonctionnelles qu’il présentait. En effet, ils ont mentionné que l’activité d’opérateur de machines consistait en une activité de surveillance de production d’une machine automatique qui permettait les déplacements et l’alternance des positions assises et debout, avec prédominance de la position debout, où il n’y avait pas de port de charges lourdes si ce n’est occasionnellement le déplacement d’emballages de petite taille. L’activité précitée respectait ainsi les limitations fonctionnelles du recourant, à savoir pas de port de charges lourdes, pas de port répété de charges modérément lourdes, pas de positions de flexion et d’extension de la tête de manière soutenue et pas d’utilisation des membres supérieurs au-dessus de l’horizontal.</w:t>
      </w:r>
    </w:p>
    <w:p>
      <w:r>
        <w:t>- 24 - d) Au vu de ce qui précède, force est de constater que du point de vue de l’exigibilité d’une activité adaptée (en l’occurrence l’activité habituelle), la situation du recourant en 2019 reste essentiellement la même par rapport à celle prévalant lors de la décision du 14 mai 2013. En l’absence d’aggravation de son état de santé, les conditions d'une révision ne sont pas remplies. C’est donc à juste titre que l’OAI a rejeté la deuxième demande de prestations AI de l’intéressé.</w:t>
      </w:r>
    </w:p>
    <w:p>
      <w:r>
        <w:rPr>
          <w:b/>
        </w:rPr>
        <w:t>E. 7</w:t>
      </w:r>
    </w:p>
    <w:p>
      <w:r>
        <w:t>Compte tenu de ce qui précède, le recours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Toutefois, dès lors que ce dernier a été mis au bénéfice de l'assistance judiciaire, ces frais sont laissés provisoirement à la charge de l'Etat. b) N'obtenant pas gain de cause, le recourant, bien qu’assisté d'un mandataire qualifié, n'a pas droit à des dépens (art. 61 let. g LPGA). c) Par décision de la juge instructrice du 8 février 2019, le recourant a été mis au bénéfice de l’assistance judiciaire avec effet au 6 février 2019 et a obtenu à ce titre la commission d’un avocat d’office en la personne de Me Jean Lob. Ce dernier a produit sa liste des opérations le 5 juin 2019. Les opérations y figurant étant justifiées, l’indemnité de Me Lob est arrêtée à 1’620 fr. (9h x 180 fr.). Il convient d’y ajouter un montant forfaitaire des débours par 5 % du défraiement hors taxe (art. 3bis al. 1 RAJ [règlement cantonal du 7 décembre 2010 sur l’assistance judiciaire en</w:t>
      </w:r>
    </w:p>
    <w:p>
      <w:r>
        <w:t>- 25 - matière civile ; BLV 211.02.3]). Au final, le montant de l’indemnité de Me Lob est arrêtée à 1’832 fr. (1'620 fr. + 81 fr. + 131 fr. [1'701 fr. x 7.7%]), débours et TVA compris. d) Le recourant est rendu attentif au fait qu’il devra rembourser les frais judiciaires et l’indemnité du conseil d’office dès qu’il sera en mesure de le faire (art. 123 al. 1 CPC [Code de procédure civile du 19 décembre 2008 ; RS 272];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