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ZD18.054586 vom 12. Dezember 2019</w:t>
      </w:r>
    </w:p>
    <w:p>
      <w:r>
        <w:t>VD Tribunal cantonal, 2019-12-12, FR</w:t>
      </w:r>
    </w:p>
    <w:p>
      <w:r>
        <w:rPr>
          <w:b/>
        </w:rPr>
        <w:t xml:space="preserve">Quelle: </w:t>
      </w:r>
      <w:r>
        <w:t>https://mcp.opencaselaw.ch/entscheid/vd_gerichte_ZD18.054586</w:t>
      </w:r>
    </w:p>
    <w:p>
      <w:r>
        <w:t>FR: VD_GERICHTE ZD18.054586 du 12 décembre 2019</w:t>
      </w:r>
    </w:p>
    <w:p>
      <w:r>
        <w:t>IT: VD_GERICHTE ZD18.054586 del 12 dicembre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l'espèce, est litigieuse la question de savoir si la recourante présente, en raison d'une atteinte à la santé, une diminution de sa capacité de travail et de sa capacité de gain susceptible de lui ouvrir le droit à des prestations de l’assurance-invalidité.</w:t>
      </w:r>
    </w:p>
    <w:p>
      <w:r>
        <w:t>- 6 -</w:t>
      </w:r>
    </w:p>
    <w:p>
      <w:r>
        <w:rPr>
          <w:b/>
        </w:rPr>
        <w:t>E. 3</w:t>
      </w:r>
    </w:p>
    <w:p>
      <w:r>
        <w:t>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w:t>
      </w:r>
    </w:p>
    <w:p>
      <w:r>
        <w:rPr>
          <w:b/>
        </w:rPr>
        <w:t>E. 6</w:t>
      </w:r>
    </w:p>
    <w:p>
      <w:r>
        <w:t>Cela étant constaté, il y a lieu d’examiner le degré d’invalidité de la recourante. a)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w:t>
      </w:r>
    </w:p>
    <w:p>
      <w:r>
        <w:t>- 12 -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w:t>
      </w:r>
    </w:p>
    <w:p>
      <w:r>
        <w:rPr>
          <w:b/>
        </w:rPr>
        <w:t>E. 7</w:t>
      </w:r>
    </w:p>
    <w:p>
      <w:r>
        <w:t>a) En l’occurrence, avant son atteinte à la santé, la recourante émargeait au revenu d’insertion et était qualifiée de personne sans activité lucrative sur son compte individuel AVS, si bien que l’on pourrait s’interroger sur son statut, ce quand bien même elle a indiqué que, sans atteinte, elle travaillerait à 100 % en qualité de gérante dans un magasin. Cette question peut cependant demeurer ouverte dans la mesure où</w:t>
      </w:r>
    </w:p>
    <w:p>
      <w:r>
        <w:t>- 13 - même en considérant un statut actif à 100 %, le taux d’invalidité de la recourante ne parviendrait pas un seuil suffisant pour ouvrir le droit à une rente. En effet, la recourante a exercé son dernier emploi au sein du commerce de son époux entre 2000 et 2001. Cependant, les pièces au dossier ne permettent pas de déterminer avec précision le type d’activité qu’elle a pratiqué, ni le revenu qu’elle aurait réalisé en 2016, année déterminante pour l’ouverture du droit à la rente. A cela s’ajoute que la réalité des revenus réalisés en 2001 et 2002 est incontrôlable s’agissant d’une activité exercée par l’assurée pour le compte de son mari. Dans cette mesure, il se justifie de se fonder sur l’ESS 2016 dans une activité non qualifiée du domaine des services, étant relevé que la recourante n’est au bénéfice d’aucune formation certifiée. Or, l’ESS 2016 indique un salaire de 4'281 fr. par mois pour une telle activité. Comme les salaires bruts standardisés tiennent compte d’un horaire de travail de quarante heures, soit une durée hebdomadaire inférieure à la moyenne usuelle dans les entreprises en 2016 (41,7 heures), le revenu mensuel précité doit être majoré pour s’élever à 4'463 fr, soit 53'556 fr. par an. A cet égard, on relève que ce montant excède largement les revenus figurant sur l’extrait du compte individuel AVS de l’assurée, à savoir 33'048 fr. pour 2001 et 23'035 fr. pour 2002. b) S’agissant du revenu d’invalide, l’ESS 2016 indique un salaire de référence de 4'363 fr. par mois pour une activité non qualifiée du domaine de la production et des services. Rapporté à une durée de travail hebdomadaire de 41,7 heures, ce montant s’élève à 4'548 fr. 40, soit 54'581 fr. par an. Ce salaire doit ensuite être réduit compte tenu du taux d’activité à 75 % préconisé par l’expert et de la diminution de rendement de 15 %. Un abattement ne se justifie pas, les limitations fonctionnelles étant déjà prises en compte dans la diminution de rendement. Au final, le revenu d’invalide de la recourante s’élève à 34'795 fr. 45 par an.</w:t>
      </w:r>
    </w:p>
    <w:p>
      <w:r>
        <w:t>- 14 - c) Après comparaison de ce revenu à celui sans invalidité, le taux d’invalidité de la recourante ne saurait en tout état de cause excéder 35 %, soit un taux n’ouvrant pas le droit à la rente. d) S’agissant des éventuelles mesures de réadaptation – en l’occurrence non sollicitées par la recourante – on relève que les secteurs de la production et des services recouvrent une large palette d'activités, dont un nombre significatif est suffisamment léger et adapté au handicap de l’intéressée, si bien que de telles mesures n’apparaissent pas nécessaires à son reclassement. e) Cela étant, la décision de refus de prestations de l’intimé apparaît fondée, par substitution de motifs.</w:t>
      </w:r>
    </w:p>
    <w:p>
      <w:r>
        <w:rPr>
          <w:b/>
        </w:rPr>
        <w:t>E. 8</w:t>
      </w:r>
    </w:p>
    <w:p>
      <w:r>
        <w:t>a) En définitive, le recours doit être rejeté et la décision entreprise confirmée, par substitution de motifs.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