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ZD18.052607 vom 24. Februar 2020</w:t>
      </w:r>
    </w:p>
    <w:p>
      <w:r>
        <w:t>VD Tribunal cantonal, 2020-02-24, FR</w:t>
      </w:r>
    </w:p>
    <w:p>
      <w:r>
        <w:rPr>
          <w:b/>
        </w:rPr>
        <w:t xml:space="preserve">Quelle: </w:t>
      </w:r>
      <w:r>
        <w:t>https://mcp.opencaselaw.ch/entscheid/vd_gerichte_ZD18.052607</w:t>
      </w:r>
    </w:p>
    <w:p>
      <w:r>
        <w:t>FR: VD_GERICHTE ZD18.052607 du 24 février 2020</w:t>
      </w:r>
    </w:p>
    <w:p>
      <w:r>
        <w:t>IT: VD_GERICHTE ZD18.052607 del 24 febbraio 2020</w:t>
      </w:r>
    </w:p>
    <w:p>
      <w:pPr>
        <w:pStyle w:val="Heading2"/>
      </w:pPr>
      <w:r>
        <w:t>Erwägungen</w:t>
      </w:r>
    </w:p>
    <w:p>
      <w:r>
        <w:rPr>
          <w:b/>
        </w:rPr>
        <w:t>E. 6</w:t>
      </w:r>
    </w:p>
    <w:p>
      <w:r>
        <w:t>al. 1 RAI</w:t>
      </w:r>
    </w:p>
    <w:p>
      <w:r>
        <w:t>- 3 - E n f a i t : A. M.________ (ci-après : l’assuré ou le recourant), né en [...] et monteur en chauffage et sanitaire, a adressé une demande de prestations le 15 juin 2013 à l’Office de l’assurance-invalidité pour le canton de Vaud (ci-après : l’OAI ou l’intimé), en mentionnant des lombalgies et chondropathie fémoro-patellaire droite sévère causées par un accident et existant depuis le 8 juin 2012. Des mesures d’intervention précoce, sous la forme d’un reconditionnement, ont été mises sur pied par l’OAI auprès de [...] du</w:t>
      </w:r>
    </w:p>
    <w:p>
      <w:r>
        <w:rPr>
          <w:b/>
        </w:rPr>
        <w:t>E. 11</w:t>
      </w:r>
    </w:p>
    <w:p>
      <w:r>
        <w:t>avril 2018. Les experts ont considéré qu’ensuite de son opération gastrique de septembre 2016, l’intéressé pouvait travailler à 100 % dans une activité adaptée à ses limitations fonctionnelles, avec une baisse de rendement de 20 %. Ce rapport d’expertise ne prête pas le flanc à la critique. Il en ressort en effet que les points litigieux ont fait l’objet d’une étude circonstanciée de la part des experts, que ceux-ci se sont fondés sur des examens complets, qu’ils ont également pris en considération les plaintes exprimées par le recourant, qu’ils ont établi leur rapport en pleine connaissance du dossier (anamnèse), que la description du contexte médical et l’appréciation de la situation médicale sont claires et enfin que les conclusions sont bien motivées. Partant, une pleine valeur probante doit être reconnue audit rapport d’expertise du 14 mars 2018 (cf. consid. 4 supra). On ajoutera que, compte tenu de la jurisprudence précitée (cf. consid. 3c supra), il convient de retenir que le recourant présentait une capacité de travail 100 % dans une activité adaptée à ses limitations fonctionnelles, avec une baisse de rendement de 20 %, également avant son opération de septembre 2016. En effet, dans l’hypothèse où son excédent de poids aurait été constitutif d’une invalidité plus importante avant dite opération, force serait de constater que la sleeve gastrectomie, qui était une mesure raisonnablement exigible, a permis d’augmenter de façon importante la capacité de gain de l’intéressé (cf. consid. 3c supra). Ainsi, les éventuels effets invalidants du poids supplémentaire que le recourant avait avant l’opération ne doivent pas être pris en compte. Il est d’ailleurs relevé que les experts ont placé l’obésité dans les diagnostics</w:t>
      </w:r>
    </w:p>
    <w:p>
      <w:r>
        <w:t>- 17 - sans répercussion sur la capacité de travail. Dès lors, il peut être considéré que les capacités de travail et rendement retenus par les experts sont juridiquement valables dès le dépôt de la demande de prestations en juin 2013. b) Au surplus, il est relevé que l’intéressé ne motive aucunement, dans la procédure de recours, sa prétention tendant à l’octroi d’une rente. Il apparaît en effet que sa requête concerne essentiellement le refus de mesures professionnelles. Tout au plus avait-il fait valoir dans son opposition du 13 septembre 2018 qu’il ne pouvait travailler qu’à hauteur de 40 %, voire 50 %, rappelant notamment son besoin d’un appareil pour dormir et qu’il devait faire face à une importante fatigue. Ce faisant, l’intéressé ne produit aucun document médical à l’appui de ses allégations. Or, conformément à la jurisprudence, il convient de se fonder sur des documents médicaux ou émanant d’autres spécialistes pour pouvoir fixer le degré d’invalidité (cf. consid. 4 supra). Le recourant n’amène en outre aucun élément objectivé qui n’aurait pas été pris en compte par les experts dans leur analyse. Partant, en l’absence de document au dossier jetant un doute sur les conclusions des experts, rien ne justifie de s’en écarter. c) La même conclusion s’applique à la détermination de l’activité adaptée et au calcul du degré d’invalidité effectué par l’intimé. Le recourant n’a pas formulé de grief à cet égard, à raison dans la mesure où le degré d’invalidité de 33,53 % n’est en définitive pas critiquable et doit être confirmé. Par conséquent, l’intéressé n’a pas le droit à l’octroi d’une rente d’invalidité (cf. art. 28 al. 1 LAI) de sorte que sa conclusion en ce sens doit être rejetée. 6.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w:t>
      </w:r>
    </w:p>
    <w:p>
      <w:r>
        <w:t>- 18 -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l’AI, tant objectivement en ce qui concerne la mesure que sur le plan subjectif en ce qui concerne la personne de l’assuré (TF 9C_609/2009 15 avril 2010 consid. 9.2 et la référence citée). Partant, si l’aptitude subjective de réadaptation de l’assuré fait défaut, l’administration peut refuser de mettre en œuvre une mesure ou y mettre fin (TF I 552/06 du 13 juin 2007 consid. 3.1 ; TFA I 370/98 du 26 août 1999 publié in : VSI 3/2002 p. 111 consid. 2 et réf. cit.). b) Aux termes de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w:t>
      </w:r>
    </w:p>
    <w:p>
      <w:r>
        <w:t>- 19 -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(ATF 114 V 29 consid. 1a ; TF 9C_534/2010 du 10 février 2011 consid. 3.2 et les références citées). c/i)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ii)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w:t>
      </w:r>
    </w:p>
    <w:p>
      <w:r>
        <w:t>- 20 - professionnel plus élevé. On notera aussi que si les préférences de l’intéressé quant au choix du genre de reclassement doivent être prises en considération, elles ne sauraient toutefois jouer un rôle déterminant (ATF 139 V 399 consid. 5.4).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Une mesure de reclassement ne saurait être interrompue de façon prématurée, aussi longtemps que le but de réadaptation visé peut, dans les limites de la proportionnalité, encore être atteint (ATF 139 V 399 consid. 5.5 et les références citées). Une mesure de reclassement ne peut pas être considérée comme adéquate lorsqu’elle est selon toute vraisemblance vouée à l’échec eu égard aux capacités d’apprentissage limitées de l’assuré constatées par les experts (TF I 388/06 du 25 avril 2007 consid. 7.2 ; TFA I 660/02 du 2 décembre 2002 consid. 2.1 ; Michel Valterio, Droit de l’assurance-vieillesse et survivants [AVS] et de l’assurance-invalidité [AI], Genève/Zurich/Bâle 2011, n° 1701 p. 457). A teneur de l’art. 6 al. 1 RAI (règlement du 17 janvier 1961 sur l’assurance-invalidité ; RS 831.201), sont considérées comme un reclassement les mesures de formation destinées à des assurés qui en ont besoin, en raison de leur invalidité, après achèvement d’une formation professionnelle initiale ou après le début de l’exercice d’une activité</w:t>
      </w:r>
    </w:p>
    <w:p>
      <w:r>
        <w:t>- 21 - lucrative sans formation préalable, pour maintenir ou pour améliorer leur capacité de gain. 7. En l’espèce, l’intimé a refusé l’octroi au recourant de mesures professionnelles aux motifs que l’exercice d’activités ne nécessitant pas de formation particulière était à sa portée, que l’intéressé n’avait pas fait reconnaître en Suisse le diplôme obtenu au H.________ dont il se prévaut, de sorte que l’intimé n’avait pas à en tenir compte – ce qui mettait à mal le principe d’équivalence – et que sa maîtrise du français était insuffisante pour terminer un cursus de formation certifiée susceptible de réduire le préjudice économique de manière conséquente. a) On peine à suivre le raisonnement de l’intimé. Il est en effet constant que le recourant ne peut plus travailler dans son activité habituelle d’aide-monteur en sanitaires. Il peut cependant travailler à temps plein, avec une baisse de rendement de 20 %, dans une activité adaptée ne nécessitant pas un niveau de formation important, telle que dans le contrôle-surveillance d’un processus de production, le montage- assemblage de pièces légères ou le conditionnement léger. Le degré d’invalidité en résultant est de 33,53 %. On relèvera au surplus que, contrairement à la situation qui prévalait au moment du courrier de l’intimé du 10 février 2014, la situation médicale du recourant est désormais stabilisée. i) Ces éléments suffisent à justifier le droit de l’intéressé à l’orientation professionnelle (cf. art. 15 LAI). En effet, il est empêché d’exercer l’activité exercée jusqu’alors à la suite de problèmes de santé. Dès lors, une orientation professionnelle avec pour but de le guider vers l’activité dans laquelle il aura le plus de chances de succès de réduire la diminution de sa capacité de gain, compte tenu de ses dispositions et de ses aptitudes, ne paraît pas en l’état pouvoir être exclue. ii) En outre, la même conclusion s’impose s’agissant d’une mesure de reclassement (cf. art. 17 al. 1 LAI). En effet, la diminution de la capacité de gain de 33,53 % du recourant est supérieure au seuil</w:t>
      </w:r>
    </w:p>
    <w:p>
      <w:r>
        <w:t>- 22 - minimum de 20 % environ (cf. consid. 6c/i supra). Le fait que ce degré d’invalidité ait été calculé en tenant compte d’un revenu avec invalidité dans des activités ne nécessitant pas de formation particulière n’exempt pas l’intimé de déterminer concrètement si un reclassement ne pourrait pas permettre d’améliorer la capacité de gain de l’intéressé, l’étendue des mesures ne pouvant en effet être déterminée de manière abstraite (cf. consid. 6c/ii supra). A cet égard, celui-ci a suggéré être formé à conduire des petites camionnettes communales pour le nettoyage en ville, ou être initié à toute tâche légères dans le bricolage avec formation (cf. recours du 5 décembre 2018) suggestions qui méritent notamment d’être analysées. S’agissant de la problématique de la non prise en compte du diplôme obtenu au H.________ par le recourant, qui mettrait à mal le principe d’équivalence, l’intimé perd de vue que le reclassement doit permettre de procurer à l’intéressé une possibilité de gain à peu près équivalente à celle que lui offrait son ancienne activité d’aide-monteur en sanitaires (cf. consid. 6c/ii supra), et non à celle qu’une activité découlant de sa formation au H.________, qu’il n’a jamais exercée en Suisse, pourrait lui procurer. L’art. 6 al. 1 RAI prévoit d’ailleurs expressément que le droit à un reclassement est également ouvert à un assuré après le début de l’exercice d’une activité lucrative sans formation. A nouveau, la capacité de gain du recourant étant réduite de 33,53 % dans une activité adaptée en comparaison de sa capacité de gain dans son activité initiale, il appartenait à l’intimé de déterminer concrètement si cette diminution ne pouvait pas être améliorée notablement. Enfin, en ce qui concerne le niveau de maîtrise du français de l’intéressé, une éventuelle insuffisance à cet égard pour suivre une mesure de reclassement devait être constatée par des experts (cf. consid 6c/ii supra), et non par l’intimé au vu du dossier. Or, il ressort du rapport d’expertise du 14 mars 2018 plusieurs appréciations à ce sujet. Ainsi, « l’anamnèse est effectuée avec l’aide d’un interprète, mais l’assuré parle suffisamment bien le français pour ne faire appel à lui que peu de fois » (cf. rapport d’expertise p. 10), « durant tout l’entretien, qui se fait</w:t>
      </w:r>
    </w:p>
    <w:p>
      <w:r>
        <w:t>- 23 - pas l’intermédiaire d’un interprète, il reste assis sans changer fréquemment de position et ne demande pas à se lever » (cf. rapport d’expertise p. 18) et « l’entretien se déroule avec un traducteur. En début de l’entretien, on a le sentiment qu’il parle un peu français, mais par la suite, la plupart des échanges se font par l’intermédiaire du traducteur. La compréhension des questions paraît bonne. Il y a parfois quelques difficultés, mais l’interprète a pu compenser les difficultés de compréhension de Monsieur M.________ » (cf. rapport d’expertise pp 20- 21). Le français est par ailleurs mentionné dans les langues parlées (cf. rapport d’expertise p. 16). Les éléments qui précèdent ne permettent en l’état pas d’inférer que le niveau en français ne serait pas suffisant pour toute mesure de reclassement. Il appartenait cas échéant à l’intimé de mettre formellement en œuvre une expertise afin de déterminer concrètement la maîtrise du français par le recourant. En outre, il n’apparaît pas que toutes les mesures de reclassement envisageables, on pense notamment à celles proposées par l’intéressé, soient mises en échec par un faible niveau de maîtrise du français. b) Partant, compte tenu de ce qui précède, il s’avère que l’intimé n’était en l’état pas légitimé à refuser l’octroi de toute mesure professionnelle au recourant. Il convient par conséquent de lui renvoyer la cause sur ce point pour déterminer concrètement, soit objectivement et subjectivement, l’utilité et la réussite ou l’échec d’une quelconque mesure de cet ordre susceptible d’améliorer de manière notable la capacité de gain de l’intéressé. 8. a) Le recourant a requis que son audition soit effectuée par la Cour de céans dans son recours du 5 décembre 2018. b) L’obligation d’organiser des débats publics au sens de l’art. 6 § 1 CEDH (Convention de sauvegarde des droits de l’homme et des libertés fondamentales du 4 novembre 1950 ; RS 0.101) suppose une demande formulée de manière claire et indiscutable de l’une des parties au procès ; de simples requêtes de preuves, comme des demandes tendant à une comparution ou à une interrogation personnelle, à un</w:t>
      </w:r>
    </w:p>
    <w:p>
      <w:r>
        <w:t>- 24 - interrogatoire des parties, à une audition des témoins ou à une inspection locale, ne suffisent pas pour fonder une semblable obligation (ATF 136 I 279 consid. 1 ; 122 V 47 consid. 2e et 3a et 3b ; TF 9C_442/2018 du 16 octobre 2018 consid. 2.1 et 2.2). c) En l’espèce, le recourant, représenté par un mandataire professionnel, n’a pas formulé de manière claire et indiscutable une demande pour la tenue de débats publics au sens de l’art. 6 § 1 CEDH. Dans son recours du 5 décembre 2018, il a uniquement sollicité son audition. Cela correspond à une requête tendant à l’administration d’un moyen de preuve, qui n’oblige pas d’organiser des débats publics au regard de la jurisprudence rappelée ci-dessus. Si l’intéressé avait voulu des débats publics, il les aurait requis expressément pour que son mandataire puisse plaider sa cause et ne se serait pas limité à demander son audition. d) Au surplus, le recourant obtenant gain de cause sur l’objet des mesures professionnelles et succombant quant à l’obtention d’une rente invalidité – faute de documents médicaux appuyant sa position –, son interrogatoire par la Cour de céans ne changerait aucunement le résultat du présent arrêt et la requête correspondante peut dès lors être écartée par appréciation anticipée des preuves (ATF 140 I 285 consid. 6.3.1 ; 134 I 140 consid. 5.3 ; 130 II 425 consid. 2.1). 9. a) En définitive, le recours doit être partiellement admis. La décision attaquée est annulée en ce qu’elle porte sur le droit aux mesures professionnelles du recourant, la cause étant renvoyée à l’intimé pour complément d’instruction dans le sens des considérants, puis nouvelle décision. Elle est confirmée pour le surplus.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w:t>
      </w:r>
    </w:p>
    <w:p>
      <w:r>
        <w:t>- 25 - En l’espèce, les frais de justice doivent être arrêtés à 400 fr. et être mis par 300 fr. à la charge de l’office intimé et par 100 fr. à la charge du recourant qui n’obtient que partiellement gain de cause. Par ailleurs, assisté d’un mandataire qualifié, le recourant a droit à des dépens réduits, qu’il convient de fixer à 2'000 fr., débours et TVA compris (art. 61 let. g LPGA,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