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ZD18.051477 vom 15. April 2019</w:t>
      </w:r>
    </w:p>
    <w:p>
      <w:r>
        <w:t>VD Tribunal cantonal, 2019-04-15, FR</w:t>
      </w:r>
    </w:p>
    <w:p>
      <w:r>
        <w:rPr>
          <w:b/>
        </w:rPr>
        <w:t xml:space="preserve">Quelle: </w:t>
      </w:r>
      <w:r>
        <w:t>https://mcp.opencaselaw.ch/entscheid/vd_gerichte_ZD18.051477</w:t>
      </w:r>
    </w:p>
    <w:p>
      <w:r>
        <w:t>FR: VD_GERICHTE ZD18.051477 du 15 avril 2019</w:t>
      </w:r>
    </w:p>
    <w:p>
      <w:r>
        <w:t>IT: VD_GERICHTE ZD18.051477 del 15 aprile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w:t>
      </w:r>
    </w:p>
    <w:p>
      <w:r>
        <w:t>- 6 -</w:t>
      </w:r>
    </w:p>
    <w:p>
      <w:r>
        <w:rPr>
          <w:b/>
        </w:rPr>
        <w:t>E. 2</w:t>
      </w:r>
    </w:p>
    <w:p>
      <w:r>
        <w:t>Le litige porte sur le droit de la recourante à une rente de l’assurance-invalidité.</w:t>
      </w:r>
    </w:p>
    <w:p>
      <w:r>
        <w:rPr>
          <w:b/>
        </w:rPr>
        <w:t>E. 3</w:t>
      </w:r>
    </w:p>
    <w:p>
      <w:r>
        <w:t>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Les règles et principes jurisprudentiels relatifs à la révision du droit à une rente d’invalidité sont applicables par analogie lorsque la décision de l'assurance-invalidité accordant une rente avec effet rétroactif prévoit en même temps la suppression ou la modification de cette rente, respectivement octroie une rente pour une durée limitée (ATF 131 V 164 consid. 2.2 ; 125 V 413 consid. 2d et les références citées ; TF 9C_600/2013 du 18 mars 2014 consid. 2.2). c) D’après le principe de la libre appréciation des preuves, pleinement valable en procédure judiciaire de recours dans le domaine des assurances sociales (art. 61 let. c LPGA), le juge n’est pas lié par des règles formelles pour constater les faits au regard des preuves</w:t>
      </w:r>
    </w:p>
    <w:p>
      <w:r>
        <w:t>- 7 -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8C_75/2017 du 24 octobre 2017 consid. 3.4).</w:t>
      </w:r>
    </w:p>
    <w:p>
      <w:r>
        <w:rPr>
          <w:b/>
        </w:rPr>
        <w:t>E. 4</w:t>
      </w:r>
    </w:p>
    <w:p>
      <w:r>
        <w:t>En l’occurrence, on constate à la lecture notamment des rapports de Mme S.________ et de la Dresse N.________ que l’état de santé de la recourante s’est notablement modifié depuis 2011 (rapports des 12 et 17 décembre 2018). Le dossier ne contient toutefois pas les éléments suffisants pour déterminer dans quelle mesure les atteintes à la santé se sont aggravées, ni les conséquences sur la capacité de travail de la recourante. L’intimé admet à cet égard la nécessité de revoir la situation en mettant en œuvre une expertise pluridisciplinaire vu l’avis du 21 janvier 2019 du SMR. Partant, conformément au principe inquisitoire qui régit la procédure dans le domaine des assurances sociales (art. 43 al. 1 LPGA), il incombe à ce stade à l’OAI de procéder à l’ensemble des mesures d’instruction idoines aux fins d’éclaircir le droit aux prestations de la recourante. Cette instruction devra intervenir sans tarder au vu du temps écoulé depuis le début de la procédure de révision en 2013.</w:t>
      </w:r>
    </w:p>
    <w:p>
      <w:r>
        <w:t>- 8 -</w:t>
      </w:r>
    </w:p>
    <w:p>
      <w:r>
        <w:rPr>
          <w:b/>
        </w:rPr>
        <w:t>E. 5</w:t>
      </w:r>
    </w:p>
    <w:p>
      <w:r>
        <w:t>a) Au vu de ce qui précède, le recours doit être admis et la cause renvoyée à l’OAI pour complément d’instruction dans le sens des considérants, puis nouvelle décision. b) En dérogation à l’art. 61 let. a LPGA, la procédure de recours en matière de contestation portant sur l’octroi ou le refus de prestations de l’assurance-invalidité devant le tribunal cantonal des assurances est soumise à frais de justice (art. 69 al. 1bis première phrase LAI). En l'espèce, les frais de justice doivent être fixés à 400 fr. et mis à la charge de l'OAI, qui succombe. c) Obtenant gain de cause avec l'assistance d'un mandataire qualifié, la recourante a droit à une indemnité de dépens à titre de participation aux honoraires de son conseil (art. 61 let. g LPGA), qu'il convient d'arrêter à 1'500 fr. (art. 10 et 11 TFJDA [tarif du 28 avril 2015 des frais judiciaires et des dépens en matière administrative ; RSV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