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ZD18.050535 vom 2. März 2021</w:t>
      </w:r>
    </w:p>
    <w:p>
      <w:r>
        <w:t>VD Tribunal cantonal, 2021-03-02, FR</w:t>
      </w:r>
    </w:p>
    <w:p>
      <w:r>
        <w:rPr>
          <w:b/>
        </w:rPr>
        <w:t xml:space="preserve">Quelle: </w:t>
      </w:r>
      <w:r>
        <w:t>https://mcp.opencaselaw.ch/entscheid/vd_gerichte_ZD18.050535</w:t>
      </w:r>
    </w:p>
    <w:p>
      <w:r>
        <w:t>FR: VD_GERICHTE ZD18.050535 du 2 mars 2021</w:t>
      </w:r>
    </w:p>
    <w:p>
      <w:r>
        <w:t>IT: VD_GERICHTE ZD18.050535 del 2 marzo 2021</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w:t>
      </w:r>
    </w:p>
    <w:p>
      <w:r>
        <w:t>- 9 -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présent litige porte sur le droit de la recourante à des prestations de l’assurance-invalidité à la suite de la troisième demande de prestations qu’elle a déposée auprès de l’intimé le 27 mars 2017, plus précisément sur son droit à une rente de l’assurance-invalidité.</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w:t>
      </w:r>
    </w:p>
    <w:p>
      <w:r>
        <w:t>- 10 -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Lorsque la rente a été refusée parce que le degré d’invalidité était insuffisant, la nouvelle demande ne peut être examinée que si l’assuré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130 V 71).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w:t>
      </w:r>
    </w:p>
    <w:p>
      <w:r>
        <w:t>- 11 - ont subi un changement important (ATF 133 V 545 consid. 6.1 ; 130 V 343 consid. 3.5). En revanche, une appréciation différente d’une situation demeurée pour l’essentiel inchangée ne constitue pas un motif de révision (ATF 141 V 9 consid. 2.3).</w:t>
      </w:r>
    </w:p>
    <w:p>
      <w:r>
        <w:rPr>
          <w:b/>
        </w:rPr>
        <w:t>E. 4</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Fondés sur l’art. 59 al. 2bis LAI, en corrélation avec l’art. 49 al. 1 RAI, les avis médicaux du SMR se distinguent des expertises ou des examens médicaux auxquels le SMR peut également procéder (art. 49 al. 2 RAI). De par leur nature, ils n’impliquent pas d’examen clinique. Ils ont seulement pour fonction d’opérer la synthèse des renseignements médicaux recueillis, de prendre position à leur sujet et de prodiguer des recommandations quant à la suite à donner au dossier sur le plan médical. Ces rapports ne sont toutefois pas dénués de toute valeur probante et il est admissible que l’office intimé, ou la juridiction cantonale, se fonde de</w:t>
      </w:r>
    </w:p>
    <w:p>
      <w:r>
        <w:t>- 12 - manière déterminante sur leur contenu, sauf s’ils sont sérieusement contredits par d’autres rapports médicaux que les médecins du SMR auraient ignorés (ATF 142 V 58 consid. 5.1 ; TF 9C_10/2017 du 27 mars 2017 consid. 5.1 et les références citées).</w:t>
      </w:r>
    </w:p>
    <w:p>
      <w:r>
        <w:rPr>
          <w:b/>
        </w:rPr>
        <w:t>E. 5</w:t>
      </w:r>
    </w:p>
    <w:p>
      <w:r>
        <w:t>En l’espèce, l’intimé est entré en matière sur la troisième demande de prestations déposée par la recourante et a instruit sa situation médicale en requérant notamment des avis médicaux auprès de son médecin-traitant. Il convient dès lors d’examiner si, entre la dernière décision au fond entrée en force, du 20 octobre 2003, et la décision litigieuse, du 22 août 2018, l’état de santé de l’intéressée s’est modifié de façon à influer son droit à des prestations de l’assurance-invalidité. a) Dans le cadre de l’examen de la première demande, l’OAI avait retenu que la recourante ne présentait pas d’atteinte à la santé diminuant sa capacité de gain. Il avait considéré qu’alors qu’elle souffrait d’une cervicarthrose et d’un conflit sous-acromial droit, la recourante disposait d’une capacité de travail entière dans son activité habituelle et a retenu comme limitations fonctionnelles : pas de travaux lourds et répétés au-dessus de la tête. b) Aux termes de sa troisième demande, la recourante a notamment invoqué une gonarthrose gauche, un diabète et un conflit sous-acromial. La Dre G.________ a également posé les diagnostics d’état anxieux généralisé et de syndrome douloureux chronique. aa) Sur le plan somatique, l’OAI a retenu une aggravation des atteintes de la recourante et admis que celle-ci ne disposait plus d’aucune capacité de travail dans son activité habituelle de femme de ménage. Se ralliant à l’avis de la Dre G.________, il a estimé que l’intéressée souffrait de gonalgies gauches sur gonarthrose et présentait les limitations fonctionnelles suivantes : pas de travaux lourds et répétés au-dessus de la tête, pas de marche prolongée ou de marche en terrain irrégulier, pas de montée/descente répétée d’escalier, pas de position accroupie/agenouillée et pas de port de charges lourdes. C’est le lieu de relever que ces</w:t>
      </w:r>
    </w:p>
    <w:p>
      <w:r>
        <w:t>- 13 - nouvelles atteintes font l’objet de traitements conservateurs qui semblent permettre une évolution favorable et qu’une intervention chirurgicale – repoussée en l’état en raison de l’âge de l’intéressée et de ses réticences à cet égard – pourrait être de nature à améliorer encore la situation (rapports du 22 mai 2015 du Dr A.________ et du 6 avril 2016 du Dr J.________). Le diabète invoqué par la recourante a été reconnu par le médecin-traitant comme non invalidant (rapport du 12 mai 2017 de la Dre G.________). Quant au syndrome douloureux chronique, il n’a pas été documenté par la Dre G.________ – ni par le Dr A.________ qui évoquait une fibromyalgie comme comorbidité – et ne repose sur aucun constat médical objectif. Il ne semble de plus induire aucune limitation fonctionnelle supplémentaire à celles retenues par l’OAI en raison des autres atteintes à la santé reconnues. bb) Sur le plan psychiatrique, la Dre G.________ évoque un état anxieux généralisé. A cet égard, il y a lieu de relever que les atteintes à la santé psychique peuvent, comme les atteintes physiques, entraîner une invalidité au sens de l'art. 4 al. 1 LAI en lien avec l'art. 8 LPGA. Cela étant, la reconnaissance de l'existence d'une atteinte à la santé psychique suppose la présence d'un diagnostic émanant d'un expert (psychiatre) et s'appuyant lege artis sur les critères d'un système de classification reconnu (ATF 130 V 396 consid. 5.3 et consid. 6 ; TF 9C_624/2015 du 9 décembre 2015 consid. 4). Or, il ne figure au dossier aucun diagnostic psychiatrique établi par un spécialiste selon des critères reconnus. En particulier, dans ses rapports, la Dre G.________ ne détaille pas en quoi consisterait cette atteinte et n’explique pas pour quelles raisons elle a posé un tel diagnostic. Il ressort au surplus du dossier qu’aucun suivi spécialisé n’a été mis en place et que la recourante ne reçoit pas non plus de traitement en lien avec une telle atteinte. En outre, dans son énumération des limitations fonctionnelles de la recourante, la Dre G.________ n’a évoqué que des restrictions d’ordre physique sans évoquer la moindre limitation psychiatrique. On constate enfin qu’à l’issue de son entretien avec l’intéressée et son mari, l’enquêtrice de l’OAI n’a émis aucune réserve quant à une éventuelle problématique psychiatrique de l’assurée.</w:t>
      </w:r>
    </w:p>
    <w:p>
      <w:r>
        <w:t>- 14 - cc) En définitive, force est de constater qu’aucun spécialiste n’évoque d’incapacité de travail dans une activité adaptée aux limitations fonctionnelles telles que retenues par l’intimé. La Dre G.________ qui semble considérer que l’incapacité de travail serait totale dans toute activité ne donne aucune explication à cet égard de sorte que son appréciation ne paraît reposer sur aucun élément médical objectif. Cette évaluation doit au demeurant être prise en considération avec prudence, celle-ci émanant d'un médecin traitant enclin à toute l'empathie qu'il se doit d'avoir envers son patient. d) Il ressort ainsi des éléments au dossier que l’état de santé physique de la recourante s’est aggravé depuis la première décision de refus rendue par l’OAI. Sur cette base, l’intimé a procédé au calcul du degré d’invalidité de la recourante. Contrôlé d’office, ce calcul ne prête pas le flanc à la critique. A cet égard, on relève qu’au vu du large éventail d’activités simples et répétitives – qui correspondent à un emploi léger respectant les limitations fonctionnelles observées – que recouvre le marché du travail, il y a lieu d’admettre qu’un nombre significatif d’entre elles, ne nécessitant aucune formation spécifique, est adapté aux limitations fonctionnelles de la recourante. A titre d’exemple, on peut citer des tâches simples de surveillance, de vérification ou de contrôle (TF 9C_329/2015 du 20 novembre 2015 consid. 7.3). Le taux d’abattement de</w:t>
      </w:r>
    </w:p>
    <w:p>
      <w:r>
        <w:rPr>
          <w:b/>
        </w:rPr>
        <w:t>E. 10</w:t>
      </w:r>
    </w:p>
    <w:p>
      <w:r>
        <w:t>% appliqué par l’OAI en raison de l’âge et de la situation personnelle de l’intéressée n’est pas contesté et ne paraît pas critiquable dans la mesure où il tient suffisamment compte des limitations fonctionnelles de la recourante. e) En définitive, c’est à juste titre que l’intimé a retenu une capacité de travail de la recourante de 100 % dans une activité adaptée, tenant compte de ses limitations sur le plan somatique, et constaté que l’intéressée ne présentait dès lors pas d’invalidité au sens de la loi. 6. a) En conclusion, le recours, mal fondé, doit être rejeté et la décision attaquée confirmée.</w:t>
      </w:r>
    </w:p>
    <w:p>
      <w:r>
        <w:t>- 15 - b) En dérogation à l’art. 61 let. a LPGA, la procédure de recours en matière de contestations portant sur l’octroi ou le refus de prestations de l’assurance-invalidité devant le tribunal cantonal des assurances est soumise à des frais de justice. En l’espèce, les frais de justice doivent être arrêtés à 400 fr. et être mis à la charge de la recourante, qui succombe (art. 69 al. 1bis LAI ; art. 49 al. 1 LPA-VD). c) Il n’y a au demeurant pas lieu d’allouer de dépens, la recourante n’obtenant pas gain de cause (art. 61 let. g LPGA ;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