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ZD18.049641 vom 5. Oktober 2020</w:t>
      </w:r>
    </w:p>
    <w:p>
      <w:r>
        <w:t>VD Tribunal cantonal, 2020-10-05, FR</w:t>
      </w:r>
    </w:p>
    <w:p>
      <w:r>
        <w:rPr>
          <w:b/>
        </w:rPr>
        <w:t xml:space="preserve">Quelle: </w:t>
      </w:r>
      <w:r>
        <w:t>https://mcp.opencaselaw.ch/entscheid/vd_gerichte_ZD18.049641</w:t>
      </w:r>
    </w:p>
    <w:p>
      <w:r>
        <w:t>FR: VD_GERICHTE ZD18.049641 du 5 octobre 2020</w:t>
      </w:r>
    </w:p>
    <w:p>
      <w:r>
        <w:t>IT: VD_GERICHTE ZD18.049641 del 5 ottobre 2020</w:t>
      </w:r>
    </w:p>
    <w:p>
      <w:pPr>
        <w:pStyle w:val="Heading2"/>
      </w:pPr>
      <w:r>
        <w:t>Erwägungen</w:t>
      </w:r>
    </w:p>
    <w:p>
      <w:r>
        <w:rPr>
          <w:b/>
        </w:rPr>
        <w:t>E. 5</w:t>
      </w:r>
    </w:p>
    <w:p>
      <w:r>
        <w:t>Cela étant constaté, il s’agit ensuite de déterminer le degré d’invalidité du recourant. a) L’art. 16 LPGA s’applique à l’évaluation de l’invalidité des assurés exerçant une activité lucrative (art. 28a al. 1 LAI).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Lorsque le revenu sans invalidité ne peut pas être déterminé en fonction de l’activité lucrative habituelle exercée avant l’atteinte à la santé, il convient de recourir à des données statistiques en se demandant quelle activité l’assuré aurait effectué s’il était resté en bonne santé. On se référera en règle générale à l’Enquête suisse sur la structure des salaires (ESS) publiée tous les deux ans par l’Office fédéral de la statistique (OFS). On procédera de même pour l’établissement du revenu avec invalidité lorsque l’assuré n’a pas repris d’activité lucrative dans une profession adaptée, ou lorsque son activité ne met pas pleinement en valeur sa capacité résiduelle de travail, contrairement à ce qui serait raisonnablement exigible (ATF 126 V 75 ; MARGIT MOSER-SZELESS, in DUPONT/MOSER- SZELESS [édit.], Loi sur la partie générale des assurances sociales, Commentaire romand, Bâle 2018, nos 25 et 33 ad art. 16).</w:t>
      </w:r>
    </w:p>
    <w:p>
      <w:r>
        <w:t>- 28 - bb)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moyens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c) En l’occurrence, l’office intimé a comparé un revenu sans invalidité de 69’168 fr. 15 avec un revenu d’invalide de 53’375 fr. 15 (montant qui correspondait à une activité à 80%), pour aboutir à un degré d'invalidité de 23 %. Le recourant n’a pas présenté de grief sur ces points. Les valeurs de référence découlant de l’ESS 2014, indexées à 2015, peuvent être validées. Cependant, le revenu d’invalide n’intègre aucun abattement, alors qu’on pourrait déduire 10% afin de tenir compte de l’âge et éventuellement du taux d’activité restreignant les perspectives salariales du recourant. Toutefois même en tenant compte d’un tel abattement, le taux d’invalidité serait de l’ordre de 30% soit encore bien dessous des 40% qui ouvrent le droit à la rente.</w:t>
      </w:r>
    </w:p>
    <w:p>
      <w:r>
        <w:rPr>
          <w:b/>
        </w:rPr>
        <w:t>E. 6</w:t>
      </w:r>
    </w:p>
    <w:p>
      <w:r>
        <w:t>a) En définitive, le recours doit être rejeté et la décision attaquée confirmée. b) En dérogation à l’art. 61 let. a LPGA, la procédure de recours en matière de contestation portant sur l’octroi ou le refus de</w:t>
      </w:r>
    </w:p>
    <w:p>
      <w:r>
        <w:t>- 29 -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