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ZD18.048222 vom 25. November 2019</w:t>
      </w:r>
    </w:p>
    <w:p>
      <w:r>
        <w:t>VD Tribunal cantonal, 2019-11-25, FR</w:t>
      </w:r>
    </w:p>
    <w:p>
      <w:r>
        <w:rPr>
          <w:b/>
        </w:rPr>
        <w:t xml:space="preserve">Quelle: </w:t>
      </w:r>
      <w:r>
        <w:t>https://mcp.opencaselaw.ch/entscheid/vd_gerichte_ZD18.048222</w:t>
      </w:r>
    </w:p>
    <w:p>
      <w:r>
        <w:t>FR: VD_GERICHTE ZD18.048222 du 25 novembre 2019</w:t>
      </w:r>
    </w:p>
    <w:p>
      <w:r>
        <w:t>IT: VD_GERICHTE ZD18.048222 del 25 novembre 2019</w:t>
      </w:r>
    </w:p>
    <w:p>
      <w:pPr>
        <w:pStyle w:val="Heading2"/>
      </w:pPr>
      <w:r>
        <w:t>Erwägungen</w:t>
      </w:r>
    </w:p>
    <w:p>
      <w:r>
        <w:rPr>
          <w:b/>
        </w:rPr>
        <w:t>E. 4</w:t>
      </w:r>
    </w:p>
    <w:p>
      <w:r>
        <w:t>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rPr>
          <w:b/>
        </w:rPr>
        <w:t>E. 5</w:t>
      </w:r>
    </w:p>
    <w:p>
      <w:r>
        <w:t>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b) Selon l’art. 28a al. 1 LAI,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w:t>
      </w:r>
    </w:p>
    <w:p>
      <w:r>
        <w:t>- 19 - en règle ordinaire, en chiffrant aussi exactement que possible les montants de ces deux revenus et en les confrontant l’un avec l’autre, la différence permettant de calculer le taux d’invalidité (ATF 137 V 334 consid. 3.1.1 ; 130 V 343 consid. 3.4 ; TF 8C_643/2016 du 25 avril 2017 consid. 4.1). c) Une décision qui simultanément accorde une rente avec effet rétroactif et en prévoit l’augmentation, la réduction ou la suppression, respectivement octroie une rente pour une durée limitée, correspond à une décision de révision selon l’art. 17 LPGA (ATF 133 V 263 consid. 6.1 ; 131 V 164 consid. 2.2 ; 125 V 413 consid. 2d). Aux termes de cette disposition, si le degré d’invalidité du bénéficiaire subit une modification notable, la rente est d’office ou sur demande révisée pour l’avenir (augmentée, réduite, supprimée). A teneur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Selon l’art. 88a al. 2 RAI, si la capacité de gain de l'assuré ou sa capacité d'accomplir les travaux habituels se dégrade, ce changement est déterminant pour l'accroissement du droit aux prestations dès qu'il a duré trois mois sans interruption notable ; l'art. 29bis RAI est toutefois applicable par analogie.</w:t>
      </w:r>
    </w:p>
    <w:p>
      <w:r>
        <w:rPr>
          <w:b/>
        </w:rPr>
        <w:t>E. 6</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- 20 -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w:t>
      </w:r>
    </w:p>
    <w:p>
      <w:r>
        <w:t>- 21 - consid. 4.3 et 4.4 ; 143 V 409 consid. 4.4 ; TF 9C_115/2018 du 5 juillet 2018 consid. 4.1 et les références citées).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w:t>
      </w:r>
    </w:p>
    <w:p>
      <w:r>
        <w:rPr>
          <w:b/>
        </w:rPr>
        <w:t>E. 7</w:t>
      </w:r>
    </w:p>
    <w:p>
      <w:r>
        <w:t>a) En l’espèce, il n’est pas contesté que le recourant a présenté une péjoration de son état de santé à compter de septembre 2013, qui a conduit l’OAI à entrer en matière sur sa nouvelle demande de prestations. Cette dernière est datée du 25 mars 2014 et comporte un timbre de réception du 26 mars 2014, si bien qu’elle a été formellement déposée fin mars et non le 4 avril 2014, comme retenu à tort par l’intimé. Cela étant, cette inexactitude reste sans influence dans la mesure où le taux d’invalidité présenté par le recourant le 1er septembre 2014, date déterminante pour l’éventuel octroi d’une rente (cf. art. 28 al. 1 et 29 al. 1 LAI), n’était que de 32,5 %, soit un taux insuffisant pour ouvrir le droit à une rente. A noter que ce taux, qui n’est plus contesté dans le cadre du recours, peut en effet être confirmé au vu des pièces au dossier. b) L’OAI a reconnu au recourant le droit à un trois-quarts de rente du 1er octobre 2014 au 30 novembre 2014, fondé sur un degré d’invalidité de 65 %. Les considérations faites par l’intimé au sujet de cette période, telles qu’elles figurent dans la motivation de la décision</w:t>
      </w:r>
    </w:p>
    <w:p>
      <w:r>
        <w:t>- 22 - attaquée, sont toutefois erronées. Il faut en effet relever que, même dans l’hypothèse où l’on estimerait que la problématique psychique constitue un nouveau cas d’assurance, d’une part, le délai d’attente d’une année de l’art. 28 al. 1 let. b LAI commencerait à courir le 18 septembre 2014 et non pas en septembre 2013 et, d’autre part, ce délai concerne l’incapacité de travail moyenne dans l’activité habituelle et non le degré d’invalidité moyen. C’est également à tort que l’OAI a considéré que le taux d’invalidité moyen durant la période de septembre 2013 à septembre 2014 équivalait au degré d’invalidité du recourant en date du 1er octobre 2014. Il apparaît bien plutôt que la problématique psychique est consécutive aux atteintes somatiques et aux douleurs que celles-ci entraînent (cf. rapport d’examen bidisciplinaire SMR p. 17), si bien qu’une modification du droit à la rente pouvait intervenir après trois mois, au regard de l’art. 88a al. 2 RAI. Au vu de ce qui précède, l’octroi d’un trois- quarts de rente d’invalidité au recourant pour la période du 1er octobre 2014 au 30 novembre 2014 est critiquable. Une reformatio in pejus ne se justifie toutefois pas, d’autant moins que la décision d’octroi de rente pour cette période, rendue le 26 octobre 2018, n’a pas été formellement contestée par le recourant. c) L’OAI a ensuite octroyé au recourant une rente d’invalidité entière du 1er décembre 2014 au 30 avril 2016, sur la base d’un taux d’invalidité de 100 %. Il apparaît cependant que son taux d’invalidité n’était pas de 100 % en 2015, puisqu’il ressort de son compte individuel à l’AVS qu’il a été en mesure d’exercer une activité pour le compte de l’Etat de Vaud qui lui a procuré un revenu de 11'371 fr., vraisemblablement dans le cadre de l’activité de traducteur qu’il avait annoncée à l’OAI par courrier du 8 décembre 2015. Cela étant, le montant des revenus réalisés sur l’ensemble de l’année 2015 n’est pas suffisant pour remettre en cause le fait que le recourant présentait à cette période un taux d’invalidité d’au moins 70 %, justifiant l’octroi d’une rente entière d’invalidité.</w:t>
      </w:r>
    </w:p>
    <w:p>
      <w:r>
        <w:t>- 23 - d) L’OAI a ensuite estimé que le recourant avait droit à une demi-rente d’invalidité à compter du 1er février 2017, sur la base d’un taux d’invalidité de 55 %, sans limitation dans le temps. Le recourant soutient qu’à compter de cette date, la rente servie doit être basée sur un taux d’invalidité « d’au moins 60 % » et se monter dès lors à trois-quarts de rente au moins. Il convient donc d’examiner les répercussions des atteintes à la santé du recourant sur sa capacité de gain à compter du 1er février 2017. aa) Il est constant que l’activité habituelle du recourant n’est plus exigible. L’OAI a considéré que celui-ci bénéficiait d’une capacité de travail de 50 % dans une activité adaptée à partir du 1er février 2017, sur la base du rapport d’examen bidisciplinaire du SMR. Pour fonder leurs conclusions, les Drs B.________ et V.________ ont pris connaissance de l’ensemble du dossier médical du recourant, y compris radiologique, ainsi que de son anamnèse complète. Ils ont tenu compte de ses plaintes et ont procédé à un examen clinique neurologique, ostéoarticulaire et psychiatrique. Dans leur appréciation, ils expliquent de manière détaillée et motivée les diagnostics qu’ils retiennent et les effets de ces derniers sur la capacité de travail du recourant. Leur rapport d’examen remplit par conséquent les réquisits jurisprudentiels en matière de valeur probante. bb) Sur le plan somatique, le Dr B.________ se rallie à l’appréciation que le Dr G.________ avait faite de la capacité de travail du recourant lors de son expertise de janvier 2015, à savoir qu’il dispose d’une pleine capacité de travail avec une diminution de rendement de 25 %, respectivement d’une capacité de travail de 75 % dans une activité adaptée. Après avoir précisé l’évolution qu’il y a eu entre l’examen effectué par le Dr G.________ et celui auquel il a procédé, le Dr B.________ estime que la capacité de travail du recourant est demeurée la même, étant donné que la légère amélioration des lombalgies a été compensée par l’apparition de l’atteinte à l’épaule droite. Il expose en outre de manière convaincante pour quelles raisons il s’écarte de l’avis des Drs C.________ et N.________ (p. 17 de l’examen bidisciplinaire). Comme il le relève, le Dr N.________, même s’il considère que la capacité de travail est</w:t>
      </w:r>
    </w:p>
    <w:p>
      <w:r>
        <w:t>- 24 - nulle tant dans l’activité habituelle que dans une activité adaptée, évoque tout de même la possibilité d’une activité adaptée jusqu’à 4 heures par jour dans une activité permettant l’alternance des positions (rapport du 12 janvier 2016). Dans son avis du 10 février 2016, le SMR a par ailleurs relevé que les éléments décrits par le Dr N.________ ne permettaient pas de conclure à une aggravation de la situation depuis l’expertise du Dr G.________. Il faut dès lors constater que le Dr N.________ a procédé à une appréciation différente de la même situation, son avis n’étant toutefois pas à même de contrebalancer celui des Drs B.________ et G.________, qui ont posé leurs conclusions de manière motivée à l’issue d’un examen complet. Il en va de même pour le Dr C.________, étant précisé que celui-ci n’excluait pas totalement l’existence d’une capacité de travail dans une activité adaptée, mais la jugeait peu probable (rapport du 7 mars 2017). Le rapport que celui-ci a établi le 17 décembre 2018, dans lequel il exclut toute capacité de travail, n’est pas suffisamment motivé et détaillé pour remettre en cause les conclusions de l’examen bidisciplinaire du SMR et tient par ailleurs compte d’éléments pouvant être postérieurs à la décision attaquée, lesquels n’ont pas à être pris en considération dans le cadre de la présente procédure (cf. consid. 3 ci-dessus). Il y a par conséquent lieu de se fonder sur les conclusions du Dr B.________, selon lesquelles le recourant bénéficie depuis mars 2014 d’une capacité de travail de 75 % dans une activité adaptée, exercée principalement en position assise à hauteur de table, avec possibilité de se lever toutes les heures. cc) Au niveau psychiatrique, la Dre V.________, après s’être référée aux rapports du Dr Z.________, expose de manière détaillée et motivée pourquoi elle retient le diagnostic de trouble dépressif récurrent, épisode actuel moyen avec syndrome somatique (rapport p. 18). Elle précise avoir objectivé la présence d’une dysthymie, non incapacitante, mais n’avoir retrouvé aucun élément en faveur d’un trouble anxieux généralisé (ibidem). Elle s’aligne sur l’appréciation du Dr Z.________ s’agissant de la présence d’une totale incapacité de travail à partir du 18 septembre 2014, puis constate que les éléments contenus dans le rapport</w:t>
      </w:r>
    </w:p>
    <w:p>
      <w:r>
        <w:t>- 25 - établi par ce dernier le 4 janvier 2016 n’atteignent pas une sévérité suffisante pour justifier le diagnostic d’un trouble dépressif. Elle retient à partir de cette date l’existence d’une dysthymie, non incapacitante. Elle relève que le recourant a pu voyager sans problème en janvier 2017 et fait par conséquent remonter au 1er février 2017 la survenance d’un nouvel épisode de l’état dépressif, qu’elle juge moyen avec syndrome somatique, et qui justifie une incapacité de travail de 50 %. Elle retient comme limitations fonctionnelles une diminution de l’intérêt et du plaisir, une diminution de l’estime et de la confiance en soi, des idées de dévalorisation et une attitude morose voire pessimiste face à l’avenir. Il faut constater que dans son appréciation, la Dre V.________ ne s’est pas référée au nouveau catalogue d’indicateurs posés par la jurisprudence, lequel n’avait pas encore été étendu aux dépressions moyennes et légères, ni à l’ensemble des atteintes psychiques au moment où l’examen SMR a été réalisé (cf. TF 8C_841/2016 et 8C_130/2017 du 30 novembre 2017 publiés in ATF 143 V 409 et ATF 143 V 418). Comme mentionné ci-dessus, le fait que cet examen clinique n’a pas été établi selon les nouveaux standards posés par l’ATF 141 V 281 ne suffit cependant pas pour lui dénier d’emblée toute valeur probante (cf. consid. 6c). En l’occurrence, il faut constater que la Dre V.________ a tenu compte de ces différents critères dans le cadre de son appréciation. Elle n’a en particulier pas d’emblée exclu tout caractère incapacitant au trouble dépressif présenté par le recourant, mais a reconnu l’existence d’une incapacité de travail durant certaines périodes, à un taux variable. Dans le cadre de son examen, elle a pris en compte le caractère plus ou moins prononcé des éléments pertinents qui fondent le diagnostic (p. 18), s’est référée aux effets du traitement précédemment suivi, respectivement à l’absence de traitement antidépresseur actuel (p. 18), ainsi qu’à l’absence de trouble de la personnalité (p. 14). Elle a pris en considération le fait que le recourant disposait de ressources mobilisables limitées, compte tenu notamment de ses comorbidités physiques (p. 11), ainsi que les répercussions des différentes atteintes dans sa vie quotidienne, lesquelles étaient cohérentes avec les symptômes présentés (p. 11 et 18). Au vu de l’ensemble de ces éléments, il convient de reconnaître une pleine valeur</w:t>
      </w:r>
    </w:p>
    <w:p>
      <w:r>
        <w:t>- 26 - probante à son appréciation. Il faut par ailleurs relever que le recourant ne produit aucun rapport psychiatrique permettant de remettre en cause les conclusions de la Dre V.________. dd) Dans son recours, le recourant fait valoir que son état de santé s’est dégradé à partir de décembre 2017 en raison de ses problèmes cardiaques. Celui-ci a en effet présenté une maladie coronarienne sévère avec sténose du tronc commun et sténose serrée de l’artère interventriculaire antérieure moyenne, qui ont été traitées efficacement par angioplastie en date du 3 avril 2018, avec la pose de deux stents actifs. Certes, les médecins du SMR n’ont pas pu tenir compte de l’atteinte coronarienne vu qu’elle est apparue en avril 2018 alors que l’examen bidisciplinaire a été mis en œuvre en juin 2017. Cela étant, dans son avis du 16 mai 2018, le SMR a pris connaissance de cette atteinte coronarienne et estimé qu’elle ne devrait a priori pas être incompatible avec une activité légère, appréciation qu’il a pris le soin de vérifier en interpellant le cardiologue traitant, le Dr S.________. Dans son courrier du 31 mai 2018 à l’OAI, celui-ci a relevé qu’il restait plusieurs lésions intermédiaires sur les autres artères coronaires, de sorte qu’une IRM cardiaque de stress allait être effectuée. Il a toutefois précisé qu’une activité professionnelle adaptée était a priori possible du point de vue cardiovasculaire, en évitant si possible les efforts trop intenses. Dans son avis du 14 juin 2018, le SMR a dès lors confirmé que les conclusions de l’examen clinique SMR étaient médicalement fondées et exigibles. Le recourant n’apporte aucun élément médical faisant douter de la compatibilité de l’atteinte coronarienne avec l’exercice d’une activité légère à 50 %, du moins jusqu’aux décisions rendues par l’OAI. Comme déjà indiqué, une éventuelle péjoration postérieure aux décisions attaquées pourra, le cas échéant, être à l’origine d’une nouvelle demande (cf. consid. 3 supra). ee) Au final, c’est à juste titre que l’OAI a retenu que le recourant bénéficiait d’une capacité de travail de 50 % dans une activité adaptée à compter du 1er février 2017.</w:t>
      </w:r>
    </w:p>
    <w:p>
      <w:r>
        <w:t>- 27 -</w:t>
      </w:r>
    </w:p>
    <w:p>
      <w:r>
        <w:rPr>
          <w:b/>
        </w:rPr>
        <w:t>E. 8</w:t>
      </w:r>
    </w:p>
    <w:p>
      <w:r>
        <w:t>a) Comme déjà mentionné ci-dessus,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bb)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w:t>
      </w:r>
    </w:p>
    <w:p>
      <w:r>
        <w:t>- 28 - perspectives salariales par rapport à celles ressortant des données statistiques (dans ce sens : ATF 135 V 297 ; 135 V 58 ; 134 V 322 consid. 4 et 5.2). b) En l’espèce, le recourant ne conteste pas le revenu sans invalidité retenu par l’OAI, mais soutient que c’est un abattement de 20 % qui aurait dû être opéré sur le revenu d’invalide, et non pas seulement de</w:t>
      </w:r>
    </w:p>
    <w:p>
      <w:r>
        <w:rPr>
          <w:b/>
        </w:rPr>
        <w:t>E. 10</w:t>
      </w:r>
    </w:p>
    <w:p>
      <w:r>
        <w:t>%, « pour tenir compte de [ses] importantes limitations fonctionnelles ». Le revenu sans invalidité, calculé par l’OAI sur la base du salaire moyen touché par un homme exerçant des activités non qualifiées du domaine de la production et des services, ne prête en effet pas le flanc à la critique et peut par conséquent être arrêté à 67'656 fr. 27. S’agissant du revenu d’invalide, c’est également à juste titre que l’OAI s’est référé au salaire ressortant des données statistiques, calculé pour une activité à 50 %. En ce qui concerne l’abattement, il faut souligner que les limitations fonctionnelles du recourant, qui nécessitent de pouvoir travailler principalement en position assise avec la possibilité de se lever une fois par heure, ont déjà été prises en compte par le biais de la diminution de rendement de 25 % dans une activité à plein temps sur le plan somatique et le sont, a fortiori, dans le cadre d’une activité limitée à 50 % pour des raisons psychiques. Il faut en outre constater qu’il existe de nombreuses activités compatibles avec ces limitations fonctionnelles, dans lesquelles le recourant pourra mettre en valeur sa capacité de travail résiduelle. L’OAI en mentionne d’ailleurs certaines dans sa feuille concernant le calcul du salaire exigible du 16 janvier 2018, telles que le montage ou la surveillance d’un processus de production, les postes d’ouvrier à l’établi dans des activités simples et légères, d’ouvrier dans le conditionnement léger, de préparateur de commandes, de surveillance ou opérateur sur machines en milieu industriel, ou d’assemblage électrique. Au final, l’abattement de 10 % auquel l’intimé a procédé permet largement de tenir compte des circonstances liées au handicap du recourant, en particulier de sa capacité de travail partielle,</w:t>
      </w:r>
    </w:p>
    <w:p>
      <w:r>
        <w:t>- 29 - étant rappelé les circonstances étrangères à l’invalidité n’ont pas à être prises en compte puisque le revenu sans invalidité et le revenu avec invalidité sont tous deux établis au moyens de l’ESS. Il n’y a par conséquent pas lieu de s’écarter du taux d’invalidité de 55 % calculé par l’OAI, pour la période à compter du 1er février 2017. c) C’est toutefois de manière erronée que l’intimé a mis le recourant au bénéfice d’une demi-rente d’invalidité à partir du 1er février 2017 déjà. L’aggravation de son état de santé ne pouvait donner lieu à une modification de son droit à la rente qu’à l’issue d’une période de trois mois, conformément à l’art. 88a al. 2 RAI. Le droit à une demi-rente d’invalidité aurait dès lors dû être fixé à partir du 1er mai 2017. Cela étant, les circonstances du cas d’espèce font qu’il se justifie de renoncer à une reformatio in pejus. 9. a) En définitive, le recours doit être rejeté et les décisions attaquées confirmées.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