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ZD18.047204 vom 18. Juni 2020</w:t>
      </w:r>
    </w:p>
    <w:p>
      <w:r>
        <w:t>VD Tribunal cantonal, 2020-06-18, FR</w:t>
      </w:r>
    </w:p>
    <w:p>
      <w:r>
        <w:rPr>
          <w:b/>
        </w:rPr>
        <w:t xml:space="preserve">Quelle: </w:t>
      </w:r>
      <w:r>
        <w:t>https://mcp.opencaselaw.ch/entscheid/vd_gerichte_ZD18.047204</w:t>
      </w:r>
    </w:p>
    <w:p>
      <w:r>
        <w:t>FR: VD_GERICHTE ZD18.047204 du 18 juin 2020</w:t>
      </w:r>
    </w:p>
    <w:p>
      <w:r>
        <w:t>IT: VD_GERICHTE ZD18.047204 del 18 giugno 2020</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w:t>
      </w:r>
    </w:p>
    <w:p>
      <w:r>
        <w:t>- 7 -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a été interjeté en temps utile auprès du tribunal compétent. Il respecte les formalités prévues par la loi (art. 61 let. b LPGA), de sorte qu'il est recevable.</w:t>
      </w:r>
    </w:p>
    <w:p>
      <w:r>
        <w:rPr>
          <w:b/>
        </w:rPr>
        <w:t>E. 2</w:t>
      </w:r>
    </w:p>
    <w:p>
      <w:r>
        <w:t>Le litige a pour objet le droit de la recourante à des prestations de l’assurance-invalidité, singulièrement à une mesure de reclassement professionnel.</w:t>
      </w:r>
    </w:p>
    <w:p>
      <w:r>
        <w:rPr>
          <w:b/>
        </w:rPr>
        <w:t>E. 3</w:t>
      </w:r>
    </w:p>
    <w:p>
      <w:r>
        <w:t>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- 8 -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4</w:t>
      </w:r>
    </w:p>
    <w:p>
      <w:r>
        <w:t>a)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w:t>
      </w:r>
    </w:p>
    <w:p>
      <w:r>
        <w:t>- 9 - trois-quarts de rente et un degré d'invalidité de 70 % au moins donnant droit à une rente entière.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- 10 - déterminant pour la valeur probante, n’est ni l’origine du moyen de preuve, ni sa désignation comme rapport ou comme expertise, mais bel et bien son contenu (ATF 134 V 231 consid. 5.1 ; 125 V 351 consid. 3a ; TF 8C_75/2017 du 24 octobre 2017 consid. 3.4).</w:t>
      </w:r>
    </w:p>
    <w:p>
      <w:r>
        <w:rPr>
          <w:b/>
        </w:rPr>
        <w:t>E. 5.5</w:t>
      </w:r>
    </w:p>
    <w:p>
      <w:r>
        <w:t>; 124 V 108 consid. 2a). d) L’exigence de l’équivalence approximative avec l’activité antérieure ne se rapporte pas en premier lieu au niveau de formation, mais aux perspectives de gain après la réadaptation en tenant compte des exigences accrues de la profession envisagée. Le critère de l’équivalence approximative des activités ne doit pas être apprécié uniquement sous l’angle des possibilités de gain actuelles offertes par la profession initiale et par la nouvelle ; il faut bien plus prendre en considération, sur la base d’un pronostic, l’évolution ultérieure des salaires, la durée d’activité et la valeur qualitative des deux formations à comparer (cf. Michel Valterio, Droit de l’assurance-vieillesse et survivants (AVS) et de l’assurance- invalidité (AI), Genève, Zurich, Bâle, 2011, p. 455 et 456, n. 1696 et 1697 et références jurisprudentielles citées).</w:t>
      </w:r>
    </w:p>
    <w:p>
      <w:r>
        <w:rPr>
          <w:b/>
        </w:rPr>
        <w:t>E. 6</w:t>
      </w:r>
    </w:p>
    <w:p>
      <w:r>
        <w:t>En l’occurrence, il n’est pas contesté que la recourante est dotée d’une capacité de travail entière dans une activité strictement adaptée à son état de santé, à compter du 1er février 2018. Est en revanche sujette à discussion l’exigibilité de l’exercice de son activité habituelle de vendeuse et de couturière en boutique. a) Sur le plan psychique, la recourante a fait l’objet d’une expertise réalisée par le Dr C.________ sur mandat de J.________SA. Les conclusions de ce spécialiste sont sans équivoque sur les possibilités de la recourante d’exercer une activité lucrative à temps complet, sans diminution de rendement, dès le 1er février 2018. L’expert a en effet indiqué que la prise en charge de la recourante semblait « adéquate », celle-ci ne présentant que « des symptômes anxieux et dépressifs résiduels » à la date de son examen. Il a estimé que « la reprise professionnelle valait pour toute activité adaptée, l’emploi actuel étant une activité adaptée ». Il a toutefois retenu que « la capacité de travail demeurait nulle et à durée indéterminée auprès de l’employeur actuel » de la recourante. Dès lors, à son avis, une capacité de travail entière serait recouvrée dès le 1er février 2018 pour autant que la recourante change de poste de travail (cf. rapport d’expertise du 26 décembre 2017, p. 19). b) Sous l’angle somatique, les renseignements médicaux en termes de capacité de travail et de limitations fonctionnelles émanent uniquement du Dr G.________. Les pièces médicales recueillies auprès du Centre hospitalier D.________, dont notamment le rapport du 24 mai 2018 du Service d’endocrinologie, diabétologie et métabolisme, produit par la recourante, ne se prononcent pas sur ces éléments. Le Dr G.________ a de son côté régulièrement acquiescé à l’exigibilité de l’exercice d’une activité lucrative à 100 %, sous réserve des limitations fonctionnelles relatives au</w:t>
      </w:r>
    </w:p>
    <w:p>
      <w:r>
        <w:t>- 11 - stress et aux horaires irréguliers. Il a en revanche exclu la reprise de l’activité habituelle dans la vente et la couture (cf. rapports du 15 mars 2018, 3 avril 2018, 18 juin 2018, 6 et 21 novembre 2018, ainsi que 7 mai 2019). Il a en particulier exposé ce qui suit dans son rapport du 6 novembre 2018 : « […] 1. L’évolution est favorable grâce à la bonne volonté et l’adéquation de cette patiente, qui a réussi à se placer elle-même dans des conditions favorables en adaptant son mode de vie […]. En effet, comme mentionné dans les différents rapports du Centre hospitalier D.________, il faut que cette patiente évite tout facteur de stress, ainsi que tout horaire irrégulier pour évoluer le plus favorablement possible. Persiste malgré tout une fatigabilité accrue d’apparition plus rapide, avec de plus céphalées relativement régulières, bien qu’en diminution avec l’adaptation de sa vie et la mise en place d’un traitement médicamenteux. La concentration reste pour elle difficile, avec capacité d’adaptation plus lente et ralentissement de son efficacité. […] 3. Les limitations correspondent à celles mentionnées dans votre 1ère question, avec notamment obligation d’éviter le stress, le devoir de rentabilité, ainsi que les horaires irréguliers. Il est essentiel qu’elle ait des moments de récupération, avec jours de congé fixes et horaires réguliers […] ». c) Le SMR a estimé, sur la base des pièces ci-dessus, que l’exercice de l’activité habituelle était toujours exigible, pour autant qu’elle se déroule auprès d’un nouvel employeur (cf. avis du 25 mai 2018). Il a ensuite expressément admis « la nécessité d’horaires réguliers dans un contexte peu stressant », considérant que ces conditions pouvaient être remplies dans la vente ou la couture (cf. avis du 10 septembre 2018). Il a ultérieurement persisté dans cette appréciation et mis en doute l’adéquation d’une activité de maîtresse ou éducatrice socioprofessionnelle avec les restrictions médicales. Il s’est en effet exprimé comme suit dans un avis du 18 mars 2019 : « […] Nous confirmons notre position étayée dans les avis SMR cités, les ressources de l’assurée étaient dépassées dans le travail exercé précédemment en raison des exigences spécifiques de cet employeur. L’activité de vendeuse, dans un contexte « habituel » du marché de l’économie libre reste entier (sic), en effet les horaires sont réguliers, le travail est exécutif et prédictif […]. Nous voyons donc une incohérence manifeste entre les limitations fonctionnelles retenues par le Dr G.________ […] quand il estime</w:t>
      </w:r>
    </w:p>
    <w:p>
      <w:r>
        <w:t>- 12 - adéquat le reclassement comme éducatrice socio-professionnelle. […] » d) Vu les documents médicaux précités, il est en tous les cas établi que la recourante peut exercer à plein temps, sans baisse de rendement, une activité sans stress ni horaires irréguliers, depuis le 1er février 2018. On peut également exclure l’exigibilité de l’exercice d’une activité similaire à celle déployée auprès de H.________SA, où la recourante assumait la responsabilité de la gestion d’une boutique en sus de la confection de vêtements nuptiaux. On peut en revanche largement douter de la possibilité de la recourante d’exercer une activité dans le domaine de la vente, quand bien même elle ne serait dotée d’aucune responsabilité de gestion. De même, on peut douter de l’exigibilité d’une activité moins exigeante du registre de la couture, soit par exemple sans travail sur des pièces lourdes ou sans nécessité de recourir à des compétences très spécialisées. Les avis du SMR à cet égard, contredits avec constance par le Dr G.________, apparaissent insuffisamment étayés pour être suivis, faute à l’intimé d’avoir complété l’instruction sur le plan médical. Au demeurant, on peut douter qu’il appartienne aux médecins de définir précisément le métier à la portée de la recourante. Quoi qu’il en soit, la question de l’exigibilité de l’exercice d’une activité du domaine de compétences de la recourante peut en l’état rester ouverte, dans la mesure où cela n’a qu’une incidence minime sur son degré d’invalidité (cf. consid. 7 infra).</w:t>
      </w:r>
    </w:p>
    <w:p>
      <w:r>
        <w:rPr>
          <w:b/>
        </w:rPr>
        <w:t>E. 7</w:t>
      </w:r>
    </w:p>
    <w:p>
      <w:r>
        <w:t>Dans l’hypothèse où la recourante devait effectivement abandonner son domaine de compétences, il conviendrait de procéder à une comparaison des revenus conforme à l’art. 16 LPGA comme suit. a) Le revenu sans invalidité de la recourante peut être fixé sur la base des données communiqués par H.________SA dans le rapport d’employeur du 28 mars 2018. Selon cette société, la recourante réalisait un revenu mensuel de 4'600 fr., soit 55'200 fr. par année en 2016. Une actualisation à l’année de référence 2018 au moyen de l’indice suisse des salaires nominaux (ISS ; + 0,4 % en 2017 et + 0,5 % en 2018 ; T39 Evolution des salaires nominaux, des prix à la consommation et des</w:t>
      </w:r>
    </w:p>
    <w:p>
      <w:r>
        <w:t>- 13 - salaires réels, 2010-2018, publié par l’Office fédéral de la statistique [OFS]), permet de mettre à jour un revenu hypothétique sans invalidité déterminant de 55'669 francs. b) Quant au revenu d’invalide, il conviendrait de se fonder sur les données statistiques résultant de l'Enquête suisse sur la structure des salaires (ESS) publiée par l'OFS (cf. ATF 129 V 472 consid. 4.2.1). Une femme effectuant une activité simple et répétitive (niveau de qualification 1) dans le secteur privé serait en mesure de réaliser un revenu de 4'363 fr. en 2016 (ESS 2016, TA1). Après adaptation de ce montant à l'horaire usuel dans les entreprises en 2018 (41,7 heures ; Indicateurs du marché du travail 2019 ; TA2.1) et à l’évolution des salaires selon l’ISS (+ 0,4 % en 2017 et + 0,5 % en 2018 ; T39 Evolution des salaires nominaux, des prix à la consommation et des salaires réels, 2010- 2018), on obtiendrait un revenu annuel de 55’045 francs pour une activité exercée à plein temps. Il n'y aurait pas lieu de tenir compte in casu d'une réduction sur le salaire statistique. Un tel abattement n'est pas automatique, mais est justifié dans les cas où il existe des indices suffisants pour admettre qu'en raison de différents facteurs (par exemple, limitations liées au handicap, âge, années de service) la personne assurée ne peut mettre à profit sa capacité de travail (résiduelle) sur le plan économique que dans une mesure inférieure à la moyenne (cf. ATF 126 V 75 consid. 5b/aa), ce qui n'est pas le cas en l'espèce. Le montant de 55'045 fr. serait donc le revenu d’invalide déterminant pour le calcul. c) La comparaison du revenu sans invalidité de 55'669 fr. au revenu d'invalide de 55’045 fr. ([55'669 – 55’045] x 100 / 55'669) aboutirait à un degré d'invalidité de 1 %, excluant le droit à une rente de l’assurance-invalidité (cf. art. 28 al. 2 LAI).</w:t>
      </w:r>
    </w:p>
    <w:p>
      <w:r>
        <w:rPr>
          <w:b/>
        </w:rPr>
        <w:t>E. 8</w:t>
      </w:r>
    </w:p>
    <w:p>
      <w:r>
        <w:t>Reste à se prononcer sur le droit de la recourante à des mesures d’ordre professionnel, singulièrement à un reclassement professionnel, soit à la prise en charge à ce titre d’une formation de maître socioprofessionnel.</w:t>
      </w:r>
    </w:p>
    <w:p>
      <w:r>
        <w:t>- 14 - a)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 130 V 488 consid. 4.2 et les références citées). b)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c)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w:t>
      </w:r>
    </w:p>
    <w:p>
      <w:r>
        <w:t>- 15 -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w:t>
      </w:r>
    </w:p>
    <w:p>
      <w:r>
        <w:rPr>
          <w:b/>
        </w:rPr>
        <w:t>E. 9</w:t>
      </w:r>
    </w:p>
    <w:p>
      <w:r>
        <w:t>a) En l’espèce, on peut observer que la recourante, titulaire d’un CFC, remplit a priori les réquisits pour suivre la formation de maître socioprofessionnel, selon le descriptif fourni en annexe à son écriture du 16 mai 2019. Par ailleurs, cette profession apparaît correspondre aux restrictions imposées par son état de santé, dans la mesure où les activités principales comprennent des tâches d’évaluation, observation et planification, de gestion et contrôle, ainsi que du travail administratif et de coordination. Ainsi que la recourante l’a observé, il convient de ne pas confondre l’activité de maître socioprofessionnel avec celle d’éducateur social, qui comprend en revanche des activités d’éducation et d’accompagnement, en sus de travaux d’administration (cf. pièces n° 16 du bordereau de pièces de la recourante).</w:t>
      </w:r>
    </w:p>
    <w:p>
      <w:r>
        <w:t>- 16 - On observera également que la recourante semble être dotée des qualités personnelles et du potentiel pour déployer une activité de maître socioprofessionnel. Les différentes attestations de stage fournies relatent en effet le succès des mesures entreprises et la collaboration optimale observée avec la recourante par les différentes institutions. Sa motivation à la poursuite de la formation correspondante a également été mise en évidence (cf. rapport de la Fondation Y.________ du 16 janvier 2019 et attestations de stage, pièces 12 et 13 du bordereau de pièces de la recourante). b) Cela étant, la recourante ne présente manifestement pas un degré d’invalidité proche du seuil minimal de 20 % ouvrant le droit à un reclassement professionnel. Ce constat n’est certes pas en soi suffisant pour justifier d’emblée le refus d’une telle mesure. Il convient d’examiner si les circonstances du cas d’espèce rendent indispensable l’octroi d’une mesure de reclassement pour permettre à la recourante de réaliser un gain équivalent à celui dégagé avant la survenance de l’atteinte à la santé. c) La recourante est au bénéfice d’un CFC de couturière et a exercé des activités très spécialisées et qualifiées dans ce domaine de compétences (cf. curriculum vitae produit auprès de l’intimé). Dans son dernier emploi auprès de H.________SA, elle occupait un poste de gestion de boutique et se consacrait à des travaux de couture particulièrement pointus. Cela étant, elle réalisait un revenu inférieur à 60'000 fr. par année. L’extrait de ses comptes individuels AVS, versé au dossier de l’intimé, démontre que malgré ses compétences et son parcours professionnel, le revenu annuel maximal qu’elle a réalisé s’élève à 58'841 fr. en 2015. On ne voit dès lors pas que la recourante aurait pu acquérir un revenu substantiellement plus élevé, alors qu’elle occupait déjà un poste de responsable (gestion de boutique) et mettait au service de son employeur un savoir-faire particulier acquis à l’issue de nombreuses années d’expérience. Ses perspectives de gain apparaissaient donc clairement limitées au montant annuel servi par H.________SA.</w:t>
      </w:r>
    </w:p>
    <w:p>
      <w:r>
        <w:t>- 17 - Or, ainsi que la recourante l’a elle-même indiqué dans son écriture du 28 février 2019, une formation de maître socioprofessionnel lui permettrait de prétendre, dans le canton de Vaud, un revenu annuel minimal de 60'626 fr. et maximal de 82'599 fr. à plein temps (cf. échelle des salaires annexée à la Convention collective de travail dans le secteur social parapublic vaudois, pièce 15 du bordereau de pièces de la recourante). Par conséquent, les perspectives de gain de la recourante se trouveraient sensiblement améliorées au terme d’un reclassement en qualité de maître socioprofessionnel, ce qui outrepasse la condition d’équivalence mise à l’octroi d’une mesure ressortant à l’art. 17 LAI. d) Par ailleurs, la formation requise par la recourante représente également un niveau de formation supérieur à celui acquis avant l’atteinte à la santé, puisque dite formation apporte un complément ou une spécialisation professionnelle aux détenteurs d’un CFC. Or, la recourante ne présente pas une invalidité d’une gravité telle qu’il se justifierait de lui octroyer un niveau de formation supérieur pour recouvrer sa capacité de gain antérieure, en dépit des années d’activité qui la séparent de l’âge légal de la retraite. e) Partant, il convient de nier le droit de la recourante à un reclassement professionnel au sens de l’art. 17 LAI, respectivement à la prise en charge de la formation réclamée.</w:t>
      </w:r>
    </w:p>
    <w:p>
      <w:r>
        <w:rPr>
          <w:b/>
        </w:rPr>
        <w:t>E. 10</w:t>
      </w:r>
    </w:p>
    <w:p>
      <w:r>
        <w:t>En vertu de l’art. 18 al. 1 LAI, l’assuré présentant une incapacité de travail et susceptible d’être réadapté a droit à un soutien actif dans la recherche d’un emploi approprié (let. a) et à un conseil suivi afin de conserver un emploi (let. b). Il est loisible à la recourante de solliciter le soutien de l’intimé afin de retrouver un emploi respectant son état de santé. A cette fin, il lui appartient de requérir le bénéfice d’une mesure de placement au sens de l’art. 18 al. 1 LAI, lequel autorise notamment la prise en charge d’une période de formation ou de mise au courant en entreprise. Une telle</w:t>
      </w:r>
    </w:p>
    <w:p>
      <w:r>
        <w:t>- 18 - mesure apparaît appropriée et suffisante pour permettre à l’assurée de mettre à profit sa capacité de travail sur le marché de l’emploi.</w:t>
      </w:r>
    </w:p>
    <w:p>
      <w:r>
        <w:rPr>
          <w:b/>
        </w:rPr>
        <w:t>E. 11</w:t>
      </w:r>
    </w:p>
    <w:p>
      <w:r>
        <w:t>a) Sur le vu de ce qui précède, c’est à bon droit que l’intimé a nié le droit de la recourante à un reclassement professionnel et à une rente d’invalidité. Le recours, mal fondé, doit être rejeté, ce qui entraîne la confirmation de la décision du 2 octobre 2018.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