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ZD18.045633 vom 19. Dezember 2019</w:t>
      </w:r>
    </w:p>
    <w:p>
      <w:r>
        <w:t>VD Tribunal cantonal, 2019-12-19, FR</w:t>
      </w:r>
    </w:p>
    <w:p>
      <w:r>
        <w:rPr>
          <w:b/>
        </w:rPr>
        <w:t xml:space="preserve">Quelle: </w:t>
      </w:r>
      <w:r>
        <w:t>https://mcp.opencaselaw.ch/entscheid/vd_gerichte_ZD18.045633</w:t>
      </w:r>
    </w:p>
    <w:p>
      <w:r>
        <w:t>FR: VD_GERICHTE ZD18.045633 du 19 décembre 2019</w:t>
      </w:r>
    </w:p>
    <w:p>
      <w:r>
        <w:t>IT: VD_GERICHTE ZD18.045633 del 19 dicembre 2019</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23 octobre 2018 contre la décision de l’intimé du 24 septembre 2018 a été interjeté en temps utile. Il respecte les conditions de forme prévues par la loi, au sens notamment de l’art. 61 let. b LPGA, de sorte qu’il est recevable.</w:t>
      </w:r>
    </w:p>
    <w:p>
      <w:r>
        <w:rPr>
          <w:b/>
        </w:rPr>
        <w:t>E. 2</w:t>
      </w:r>
    </w:p>
    <w:p>
      <w:r>
        <w:t>Est litigieux en l’espèce le droit de la recourante à des prestations de l’assurance-invalidité, singulièrement à une rente. Au</w:t>
      </w:r>
    </w:p>
    <w:p>
      <w:r>
        <w:t>- 6 - surplus, le présent litige fait suite au renvoi de la cause prononcé en ces termes par arrêt du 4 décembre 2017 de la Cour de céans (cf. consid. 5b) : « L’intimé reprendra l’instruction de la cause relative aux atteintes à la santé et à leurs effets sur la capacité résiduelle de travail. Si, par hypothèse, il devait finalement constater une incapacité de travail dans l’activité habituelle, mais l’exigibilité d’une activité professionnelle mieux adaptée, il lui appartiendra de procéder à une comparaison des revenus et éventuellement, dans le cadre de l’application de la méthode mixte d’évaluation de l’invalidité, à une enquête ménagère effectuée au domicile de l’assurée (cf. art. 8 al. 1 et 3 LPGA) avant de statuer sur le droit aux prestations. »</w:t>
      </w:r>
    </w:p>
    <w:p>
      <w:r>
        <w:rPr>
          <w:b/>
        </w:rPr>
        <w:t>E. 3</w:t>
      </w:r>
    </w:p>
    <w:p>
      <w:r>
        <w:t>a) En vertu de l’art. 8 al. 1 LPGA, est réputée invalidité l’incapacité de gain totale ou partielle qui est présumée permanente ou de longue durée. L’invalidité peut résulter d’une infirmité congénitale, d’une maladie ou d’un accident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28 al. 1 let. b et c LAI, une personne assurée ne peut prétendre à une rente que si elle a présenté une incapacité de travail d'au moins 40 % en moyenne durant une année sans interruption notable et si au terme de cette année, elle est invalide à 40 % au moins.</w:t>
      </w:r>
    </w:p>
    <w:p>
      <w:r>
        <w:t>- 7 - L’art. 28 al. 2 LAI prévoit que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Le droit à la rente prend naissance au plus tôt à l'échéance d'une période de six mois à compter de la date à laquelle l'assuré a fait valoir son droit aux prestations (art. 29 al. 1 LAI). La rente est versée dès le début du mois au cours duquel le droit prend naissance (art. 29 al. 3 LAI). c) L’art. 88a al. 1 RAI (règlement du 17 janvier 1961 sur l’assurance-invalidité ; RS 831.201)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w:t>
      </w:r>
    </w:p>
    <w:p>
      <w:r>
        <w:rPr>
          <w:b/>
        </w:rPr>
        <w:t>E. 4</w:t>
      </w:r>
    </w:p>
    <w:p>
      <w:r>
        <w:t>a) Pour se prononcer sur l’incapacité de travail,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w:t>
      </w:r>
    </w:p>
    <w:p>
      <w:r>
        <w:t>- 8 -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 En l’espèce, a été versé au dossier de la recourante le rapport d’expertise rédigé le 22 mai 2017 par le Dr L.________ sur mandat d’E.________SA. Ce spécialiste a relaté les éléments suivants au titre des antécédents mis en évidence par la recourante : « […] Elle aurait subi des violences de la part de son mari depuis sa 2e grossesse en 1998. En 2015, à la suite d'un nouvel épisode de brutalité ayant justifié l'intervention de la police, elle présente un état dépressif pour lequel elle est adressée à un psychiatre, le Docteur H.________ [réd. : H.________, spécialiste en psychiatrie et psychothérapie] et un psychologue, qu'elle voit pendant une année environ. À l'époque, elle doit arrêter le travail pendant environ 6 semaines. Elle prend des antidépresseurs jusqu'en décembre 2016, prescrits tout d'abord par son psychiatre puis par son généraliste. […] » Concernant son appréciation de la situation, le Dr L.________ s’est exprimé en ces termes : « […] Le dossier radiologique confirme l'existence d'une importante discopathie L4-L5 mais sans signe de conflit disco-radiculaire en avril 2016. Au total, sur le plan somatique, les lombo-fessalgies et les irradiations occasionnelles à la face antérieure des cuisses sont en relation adéquate avec les constatations cliniques et radiologiques. Il y a vraisemblablement un état anxieux et des symptômes dépressifs qui peuvent jouer un rôle défavorable mais il n'y a aucun argument pour penser à une exagération volontaire des symptômes ni, a fortiori, à une simulation.</w:t>
      </w:r>
    </w:p>
    <w:p>
      <w:r>
        <w:t>- 9 - Les anomalies du rachis lombaire justifient des limitations fonctionnelles : éviter les efforts contraignants pour le rachis, le port de charges au-delà de 10 kg occasionnellement, les travaux en flexion et rotation du tronc. Une activité adaptée devrait permettre l'alternance de positions. Sur le plan thérapeutique, il faut insister sur l'absence de critères de gravité et l'utilité d'un programme de rééducation active visant à lutter contre le syndrome de déconditionnement et à renforcer la sangle lombo-abdominale. En l'absence de signes neurologiques il n'y a en principe pas d'indication neurochirurgicale ou orthopédique. Étant donné les symptômes anxieux et dépressifs, la reprise d'un médicament antidépresseur pourrait être utile, également pour élever le seuil douloureux par exemple avec du Cymbalta ou du Saroten, tout comme la reprise d'une psychothérapie de soutien chez cette assurée qui annonce des problèmes de conflit conjugal chronique. […] Au vu de la corrélation adéquate entre les constatations cliniques et radiologiques, avec des anomalies rachidiennes qui justifient des limitations fonctionnelles, une incapacité de travail comme aide infirmière est justifiée actuellement. Une reprise d'activité dans cette profession n'est pas totalement exclue mais paraît peu probable après une année d'évolution défavorable, d'autant que l'assurée a reçu son congé. […] Dans une activité adaptée aux limitations fonctionnelles, une reprise d'activité serait envisageable à 50 % dès à présent avec une augmentation à 100 % après 1 à 2 mois. […] » c) Les conclusions du rapport d’expertise précité ont été prises en compte par le SMR dans son rapport final du 2 juillet 2018. Elles ne sont pas contestées par la recourante dans son mémoire de recours du 23 octobre 2018. Le rapport du Dr L.________ apparaissant exhaustif et motivé, on ne voit aucune raison de s’en écarter, alors qu’aucune pièce médicale ne vient en contredire la teneur. La recourante invoque toutefois une problématique psychique qui n’aurait pas été investiguée à satisfaction par l’intimé. A cet égard, elle observe que le Dr L.________ a mentionné les bienfaits d’un éventuel accompagnement psychologique et rappelé la prise en charge assumée par le Dr H.________ dans le courant de l’année 2016. Cela étant, l’expert a également précisé que les problèmes psychologiques rencontrés par la recourante ont entraîné un arrêt de travail d’une durée de quelques semaines et que le suivi psychologique a pris fin en décembre 2016. La recourante ne fait pas valoir de nouvelle prise en charge postérieure à l’expertise réalisée par le Dr L.________ et ne produit aucune pièce</w:t>
      </w:r>
    </w:p>
    <w:p>
      <w:r>
        <w:t>- 10 - médicale subséquente qui justifierait de se renseigner sur son état de santé psychique. On peut par conséquent écarter le grief d’une instruction médicale insuffisante avancé par la recourante et se fonder sur les conclusions du Dr L.________ dans le registre strictement somatique. Dès lors, il convient de retenir que la recourante n’est plus en mesure d’exercer son activité habituelle d’aide-infirmière. Elle est en revanche dotée d’une capacité de travail dans une activité adaptée à ses limitations foncationnelles, laquelle s’est élevée à 50 % courant mai 2017, pour atteindre 100 % courant juillet 2017.</w:t>
      </w:r>
    </w:p>
    <w:p>
      <w:r>
        <w:rPr>
          <w:b/>
        </w:rPr>
        <w:t>E. 4.2</w:t>
      </w:r>
    </w:p>
    <w:p>
      <w:r>
        <w:t>et les références). c) Les taux d’invalidité ainsi calculés sont ensuite pondérés en proportion du temps consacré par l’assuré à chacun des deux domaines d’activité, avant d’être additionnés pour fixer le taux d’invalidité globale (cf. art. 28a al. 3 LAI et 27bis al. 2 à 4 RAI).</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Chez les assurés qui n'exerçaient pas d'activité lucrative avant d'être atteints dans leur santé physique, mentale ou psychique et dont il ne peut être exigé qu'ils en exercent une, il y a lieu d'effectuer une</w:t>
      </w:r>
    </w:p>
    <w:p>
      <w:r>
        <w:t>- 11 -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Par travaux habituels, il faut notamment entendre l'activité usuelle dans le ménage, l'éducation des enfants ainsi que toute activité artistique ou d'utilité publique (art. 27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131 V 51 consid. 5.1.2).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w:t>
      </w:r>
    </w:p>
    <w:p>
      <w:r>
        <w:t>- 12 - force probatoire reconnue habituellement en droit des assurances sociales atteigne le degré de la vraisemblance prépondérante (ATF 137 V 334 consid. 3.2 et les références). d) En l’espèce, il n’est pas contesté que la méthode mixte d’évaluation de l’invalidité est applicable au cas de la recourante. Ainsi qu’elle l’a elle-même indiqué, elle exerçait son activité habituelle d’aide- infirmière à 80 % avant d’être atteinte dans sa santé. Elle ne prétend pas avoir envisagé de porter son temps de travail à 100 % (cf. formulaire complété le 5 janvier 2017 à l’attention de l’intimé et déclarations consignées dans le rapport d’intervention précoce du 25 janvier 2017).</w:t>
      </w:r>
    </w:p>
    <w:p>
      <w:r>
        <w:rPr>
          <w:b/>
        </w:rPr>
        <w:t>E. 6</w:t>
      </w:r>
    </w:p>
    <w:p>
      <w:r>
        <w:t>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A cet égard, il convient de distinguer la situation qui prévalait jusqu’au 31 décembre 2017 de celle qui a cours depuis le 1er janvier 2018.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(ATF 137 V 334 consid. 4.1 et les références). bb) Depuis le 1er janvier 2018, le revenu que la personne assurée aurait pu obtenir dans l’activité qu’elle effectuait à temps partiel avant la survenance de l’atteinte à la santé (revenu sans invalidité) n’est</w:t>
      </w:r>
    </w:p>
    <w:p>
      <w:r>
        <w:t>- 13 - plus déterminé sur la base du revenu effectivement réalisé, mais est désormais extrapolé pour la même activité lucrative exercée à plein temps (art. 27bis al. 3 let. a RAI).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l'Office fédéral des assurances sociales (OFAS) sur l'invalidité et l'impotence dans l'assurance-invalidité (CIIAI ; ATF 137 V 334 consid.</w:t>
      </w:r>
    </w:p>
    <w:p>
      <w:r>
        <w:rPr>
          <w:b/>
        </w:rPr>
        <w:t>E. 7</w:t>
      </w:r>
    </w:p>
    <w:p>
      <w:r>
        <w:t>Au vu de la modification de la méthode mixte d'évaluation de l'invalidité intervenue au 1er janvier 2018, il convient de procéder en l’espèce à une double comparaison en distinguant la période du 1er juillet 2017 (échéance du délai de carence d’une année déterminant pour l’ouverture du droit à la rente ; cf. art. 28 al. 1 let. b LAI) au 31 décembre 2017 de celle qui court dès le 1er janvier 2018.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w:t>
      </w:r>
    </w:p>
    <w:p>
      <w:r>
        <w:t>- 14 - du droit à la rente (ATF 134 V 322 consid. 4.1 ; 129 V 222). On se fondera, sur ce point, sur les renseignements communiqués par l’employeur ou, à défaut, sur l’évolution des salaires nominaux (par ex. : TF 9C_192/2014 du 23 septembre 2014 consid. 4.2). En l’occurrence, il y a lieu de se référer à la dernière activité exercée par la recourante avant la survenance de l’incapacité de travail pertinente, soit l’activité d’aide-infirmière exercée dès octobre 2006. Selon le rapport fourni par la Fondation G.________ le 28 décembre 2016, la recourante aurait pu obtenir en 2016 un revenu annuel de 49'647 francs. Adapté à l’évolution des salaires pour 2017 (+ 0,4 % [Office fédéral de la statistique (OFS), Indice des salaires nominaux (ISS), femmes, 2011-2019, T.1.2.10]), le revenu sans invalidité se serait élevé à 49'845 fr. pour une activité exercée à un taux de 80 % et à 62'306 fr. pour une activité exercée à 100 %.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l’OFS dans l’Enquête suisse sur la structure des salaires ([ESS] ; cf. ATF 129 V 472 consid. 4.2.1). Dans le cas présent, le salaire de référence pour des femmes exerçant des activités simples et répétitives dans le secteur privé (production et services), était, en 2017, de 4'379 fr. par mois, part au treizième salaire comprise (ESS 2016, TA 1, niveau de qualification 1, après actualisation à l’année 2017 au moyen de l’ISS). Compte tenu du fait que les salaires bruts standardisés se basent sur un horaire de travail de quarante heures, soit une durée hebdomadaire inférieure à celle prévalant dans les entreprises en 2017, à savoir 41,7 heures (La Vie économique, tableau B 9.2), ce montant doit être porté à 4'565 fr. à plein temps. C’est ainsi des revenus annuels de 54'780 fr. à 100 % et de 27'390 fr. à 50 % qu’il y a lieu de retenir au titre de revenus hypothétiques d’invalide.</w:t>
      </w:r>
    </w:p>
    <w:p>
      <w:r>
        <w:t>- 15 - c) Pour le mois de juillet 2017, le degré d’invalidité pour la part que la recourante consacre à l’exercice d’une activité lucrative s’élève, après comparaison du revenu sans invalidité (49’845 fr.) avec le revenu d’invalide (27’390 fr.), à 45 % ([{49’845 fr. – 27’390 fr.} / 49’845 fr.] x 100). Pour la période du 1er août 2017 au 31 décembre 2017, le degré d’invalidité pour la part que la recourante consacre à l’exercice d’une activité lucrative est nul, après comparaison du revenu sans invalidité (49’845 fr.) avec le revenu d’invalide (54'780 fr.) ([{49’845 fr. – 54’780 fr.} / 49’845 fr.] x 100). Pour la période courant dès le 1er janvier 2018, le degré d’invalidité pour la part que la recourante consacre à l’exercice d’une activité lucrative s’élève, après comparaison du revenu sans invalidité (62’306 fr.) avec le revenu d’invalide (54’780 fr.), à 12,1 % ([{62’306 fr. – 54’780 fr.} / 62’306 fr.] x 100).</w:t>
      </w:r>
    </w:p>
    <w:p>
      <w:r>
        <w:rPr>
          <w:b/>
        </w:rPr>
        <w:t>E. 8</w:t>
      </w:r>
    </w:p>
    <w:p>
      <w:r>
        <w:t>Pour la part consacrée à l’accomplissement des travaux habituels, l’intimé a négligé de procéder à une enquête ménagère. Il convient en l’état du dossier de se référer à l’appréciation médicale de la capacité de travail dans une activité adaptée et de considérer, sur la base du critère de la vraisemblance prépondérante, que les empêchements rencontrés par la recourante dans le ménage se sont élevés à 50 % jusqu’au mois de juillet 2017. A tout le moins, n’étaient-ils, selon toute vraisemblance, pas inférieurs à 20 % jusqu’à cette date. A ce stade, une enquête au domicile de la recourante ne permettrait pas de clarifier davantage les faits sur ce point. Au-delà du mois de juillet 2017, dans la mesure où la recourante se trouve dotée d’une capacité de travail entière, on peut retenir qu’elle ne rencontre pas un empêchement significatif dans l’accomplissement des tâches ménagères.</w:t>
      </w:r>
    </w:p>
    <w:p>
      <w:r>
        <w:rPr>
          <w:b/>
        </w:rPr>
        <w:t>E. 9</w:t>
      </w:r>
    </w:p>
    <w:p>
      <w:r>
        <w:t>Il convient dès lors de déterminer le degré d’invalidité global de la recourante.</w:t>
      </w:r>
    </w:p>
    <w:p>
      <w:r>
        <w:t>- 16 - a) Pour le mois de juillet 2017, le taux d’invalidité s’élève à 46 % ([0,8 x 45] + [0,2 x 50]) au plus, respectivement à 40 % au moins ([0,8 x 45] + [0,2 x 20]). b) Pour la période du 1er août 2017 au 31 décembre 2017, le taux d’invalidité global est nul ([0,8 x 0] + [0,2 x 0]). c) Pour la période courant dès le 1er janvier 2018, le taux d’invalidité global s’élève à 9,7 % ([0,8 x 12,1] + [0,2 x 0]). On ajoutera que même à considérer que les limitations fonctionnelles entraîneraient un empêchement dans l’accomplissement des tâches ménagères, celui-ci serait selon toute vraisemblance faible et demeurerait sans incidence sur le droit à la rente.</w:t>
      </w:r>
    </w:p>
    <w:p>
      <w:r>
        <w:rPr>
          <w:b/>
        </w:rPr>
        <w:t>E. 10</w:t>
      </w:r>
    </w:p>
    <w:p>
      <w:r>
        <w:t>Sur le vu de ce qui précède, la recourante peut prétendre un quart de rente d’invalidité du 1er juillet 2017 au 31 octobre 2017 (cf. art. 28 al. 1 et 2 LAI et art. 88a al. 2 RAI).</w:t>
      </w:r>
    </w:p>
    <w:p>
      <w:r>
        <w:rPr>
          <w:b/>
        </w:rPr>
        <w:t>E. 11</w:t>
      </w:r>
    </w:p>
    <w:p>
      <w:r>
        <w:t>Le recours doit en définitive être admis et la décision du 24 septembre 2018 réformée dans le sens susmentionné.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Au vu des circonstances de la présente affaire, il convient de fixer les frais judiciaires à 400 fr. et de les mettre à la charge de l’intimé qui succombe. b) La recourante, assistée d’un mandataire professionnel, obtenant gain de cause, il y a lieu de lui allouer des dépens, arrêtés en l’occurrence à 1'500 fr. (art. 61 let. g LPGA ; art. 55 LPA-VD).</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