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ZD18.044120 vom 7. Mai 2019</w:t>
      </w:r>
    </w:p>
    <w:p>
      <w:r>
        <w:t>VD Tribunal cantonal, 2019-05-07, FR</w:t>
      </w:r>
    </w:p>
    <w:p>
      <w:r>
        <w:rPr>
          <w:b/>
        </w:rPr>
        <w:t xml:space="preserve">Quelle: </w:t>
      </w:r>
      <w:r>
        <w:t>https://mcp.opencaselaw.ch/entscheid/vd_gerichte_ZD18.044120</w:t>
      </w:r>
    </w:p>
    <w:p>
      <w:r>
        <w:t>FR: VD_GERICHTE ZD18.044120 du 7 mai 2019</w:t>
      </w:r>
    </w:p>
    <w:p>
      <w:r>
        <w:t>IT: VD_GERICHTE ZD18.044120 del 7 maggio 2019</w:t>
      </w:r>
    </w:p>
    <w:p>
      <w:pPr>
        <w:pStyle w:val="Heading2"/>
      </w:pPr>
      <w:r>
        <w:t>Erwägungen</w:t>
      </w:r>
    </w:p>
    <w:p>
      <w:r>
        <w:rPr>
          <w:b/>
        </w:rPr>
        <w:t>E. 19</w:t>
      </w:r>
    </w:p>
    <w:p>
      <w:r>
        <w:t>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SVR 2007 UV n° 33 p. 111 ; Ueli Kieser, ATSG-Kommentar, 2ème éd., n° 12 et 17 ad art. 43 LPGA).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Un renvoi à l'administration est en principe possible lorsqu'il s'agit de trancher une question qui n'a jusqu'alors fait l'objet d'aucun éclaircissement, ou lorsqu'il s'agit d'obtenir une clarification, une</w:t>
      </w:r>
    </w:p>
    <w:p>
      <w:r>
        <w:t>- 17 - précision ou un complément quant à l'avis des experts interpellés par l'autorité administrative (ATF 137 V 210 consid. 4.4.1.4 et 4.4.1.5). 8. En l’occurrence, compte tenu des carences dont souffre le dossier quant à l'évaluation de l’état de santé psychique de la recourante, il s’impose de procéder à une expertise psychiatrique, laquelle devra intégrer l’examen des critères jurisprudentiels pertinents. La cause devra par conséquent être renvoyée à l’intimé, auquel il incombe de procéder à un tel complément. Il lui appartiendra dans ce contexte d’actualiser préalablement les données médicales somatiques, la nécessité d’une évaluation bidisciplinaire étant réservée en cas de modification éventuelle de l’état de santé de la recourante à cet égard. 9. Il résulte de ce qui précède que le recours, bien fondé, doit être admis, la décision attaquée annulée et la cause renvoyée à l'intimé pour instruction complémentaire dans le sens des considérants. a)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Ayant procédé par l’intermédiaire d’un avocat du Service juridique de Procap Suisse, qui peut se voir accorder des dépens, la recourante, qui obtient gain de cause, a droit à une indemnité de dépens qu’il convient, compte tenu de l’importance et de la complexité du litige, de fixer à 1'500 fr. à la charge de l’office intimé (art. 61 let. g LPGA, 55 LPA-VD et 11 al. 2 TFJDA [tarif cantonal vaudois du 28 avril 2015 des frais judiciaires et des dépens en matière administrative ; BLV 173.36.5.1]).</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