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ZD18.039842 vom 24. Oktober 2019</w:t>
      </w:r>
    </w:p>
    <w:p>
      <w:r>
        <w:t>VD Tribunal cantonal, 2019-10-24, FR</w:t>
      </w:r>
    </w:p>
    <w:p>
      <w:r>
        <w:rPr>
          <w:b/>
        </w:rPr>
        <w:t xml:space="preserve">Quelle: </w:t>
      </w:r>
      <w:r>
        <w:t>https://mcp.opencaselaw.ch/entscheid/vd_gerichte_ZD18.039842</w:t>
      </w:r>
    </w:p>
    <w:p>
      <w:r>
        <w:t>FR: VD_GERICHTE ZD18.039842 du 24 octobre 2019</w:t>
      </w:r>
    </w:p>
    <w:p>
      <w:r>
        <w:t>IT: VD_GERICHTE ZD18.039842 del 24 ottobre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- 8 -</w:t>
      </w:r>
    </w:p>
    <w:p>
      <w:r>
        <w:rPr>
          <w:b/>
        </w:rPr>
        <w:t>E. 2</w:t>
      </w:r>
    </w:p>
    <w:p>
      <w:r>
        <w:t>Le litige porte sur le droit du recourant aux prestations de l’assurance-invalidité.</w:t>
      </w:r>
    </w:p>
    <w:p>
      <w:r>
        <w:rPr>
          <w:b/>
        </w:rPr>
        <w:t>E. 3</w:t>
      </w:r>
    </w:p>
    <w:p>
      <w:r>
        <w:t>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TF 8C_160/2016 du 2 mars 2017 consid. 4.1). c) Selon la jurisprudence récente, tant les affections psychosomatiques que toutes les affections psychiques doivent en principe faire l’objet d’une procédure probatoire structurée au sens de l’ATF 141 V 281 (ATF 143 V 418 consid. 6 et 7 et les références).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w:t>
      </w:r>
    </w:p>
    <w:p>
      <w:r>
        <w:t>- 9 - consid. 4.3 et 4.4 ; 143 V 409 consid. 4.4 ; TF 9C_115/2018 du 5 juillet 2018 consid. 4.1 et les références). d)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8C_75/2017 du 24 octobre 2017 consid. 3.4).</w:t>
      </w:r>
    </w:p>
    <w:p>
      <w:r>
        <w:rPr>
          <w:b/>
        </w:rPr>
        <w:t>E. 4</w:t>
      </w:r>
    </w:p>
    <w:p>
      <w:r>
        <w:t>Le recourant critique les conclusions de l’expertise du 23 février 2018 sur plusieurs points. a) Sur le plan formel, le recourant fait valoir que le temps consacré par l’expert à l’entretien (trois heures environ) est insuffisant au vu de la complexité du dossier. On relève en premier lieu que le recourant ne cite pas les éléments factuels qui manqueraient à l’expertise ou qui auraient été retenus de manière erronée. On rappelle ensuite que le rôle d’un expert consiste notamment à se faire une idée sur l’état de santé d’un assuré dans un délai relativement bref (TF 9C_722/2018 du 12 décembre 2018 consid. 4.2 et les références). De plus, le fait que le Dr K.________ ait vu le recourant durant trois heures selon les déclarations</w:t>
      </w:r>
    </w:p>
    <w:p>
      <w:r>
        <w:t>- 10 - de l'intéressé, ne suffit pas à mettre en doute la valeur probante de son expertise. La précision de l'anamnèse, du vécu et des constatations est manifeste, étalée sur plusieurs pages. L'expertise retient tous les éléments déterminants en droit, concernant le status psychique. Au vrai, le rapport d'expertise démontre que l'expert s'est consacré de manière approfondie et appropriée à la personne du recourant. Par ailleurs, le Dr K.________ a pris en compte les rapports du Dr C.________ (pp. 21, 23 et 24 de l’expertise) et les a discutés dans la partie évaluation médicale (pp. 34 et suivantes). Le recourant n’indique pas quelles informations complémentaires l’expert aurait dû recueillir auprès de ce médecin et ne prétend pas non plus que le dossier médical soumis à l’expert était incomplet. Il ne précise pas quels autres renseignements médicaux auraient dû être portés à sa connaissance. Partant, les griefs formels tombent à faux. b) La Cour de céans constate par ailleurs que l’expertise répond aux réquisits jurisprudentiels, tant s’agissant de son contenu (étude circonstanciée des points litigieux, examens complets, anamnèse détaillée, appréciation médicale claire et conclusions motivées), que des conditions posées par la jurisprudence en matière de troubles psychiatriques (ATF 143 V 418). Le Dr K.________ a en effet utilisé la grille d’évaluation pour déterminer les ressources du recourant. L’expertise comporte les indicateurs établis par la jurisprudence (ATF 141 V 281 consid. 3.6), ce qui n’est du reste pas contesté. c) Le recourant reproche au Dr K.________ de ne pas avoir retenu le diagnostic de trouble schizo-affectif de type dépressif relevé par le Dr C.________ (rapports des 24 février 2016, 17 janvier et 8 février 2017). L’expert a écarté ce diagnostic pour plusieurs motifs. Le recourant a déclaré lors de l’entretien ne jamais avoir entendu une ou plusieurs voix connues ou inconnues faisant des commentaires sur sa personne ou lui enjoignant des ordres alors que personne n’était à proximité (hallucinations auditives), ni vu des choses qui n’existaient pas (hallucinations visuelles). Il n’avait jamais pensé que son comportement était dirigé par une force extérieure (syndrome d’influence) ni que des</w:t>
      </w:r>
    </w:p>
    <w:p>
      <w:r>
        <w:t>- 11 - pensées pouvaient lui être imposées ou divulguées. Il a dit ne jamais avoir fait l’expérience de phénomènes d’écho de la pensée. L’assuré n'avait jamais considéré qu'il était fait allusion à sa personne à la télévision (idées de concernement) ni être doté de pouvoirs surnaturels (idées délirantes). Il n'avait jamais pensé qu'autrui était délibérément hostile vis-à-vis de sa personne, ni cru être suivi, surveillé ou que son téléphone était sous écoute ou encore que des micros étaient cachés dans son appartement (idées délirantes de persécution). Selon le Dr K.________, il n'y pas non plus de signes indirects en faveur d'une psychose et en particuliers d'hallucinations auditives (absence de barrage idéique, d'attitude d'écoute, de soliloque ou de rires immotivés ; pp. 36 et 37 de l’expertise). L’expert ajoute que même si on fouillait dans le passé de l’assuré, il n'y avait eu que trois épisodes où il était fait état d'une symptomatologie « étrange » : une première fois, durant sa jeunesse, lorsque le recourant travaillait en tant que nettoyeur d'une morgue, il avait eu l'impression que l'âme des personnes décédées était à côté de lui, mais cela n'était que transitoire et peut-être lié au type de travail. Une deuxième fois, lorsqu'il avait été hospitalisé à la Fondation L.________, il était tellement angoissé qu'il avait eu l'impression d'être possédé. L’expert explique cela par la manifestation d'une crise d'angoisse paroxystique qui pouvait parfois aussi s'accompagner de phénomènes de déréalisation et de personnalisation. A nouveau, il s'agissait d'un épisode aigu qui ne s'était plus reproduit avec la même intensité. Finalement, le troisième événement concernait l'habitude que le recourant avait pris de lire sur internet des blogs sur la politique qui le poussait à considérer qu'il y aurait bientôt une guerre civile en France et en Suisse, raison pour laquelle il souhaitait partir en [...]. Cela ne pouvait pas être considéré comme un délire structuré mais au maximum comme une idée obsédante selon le Dr K.________ (p. 37). Ce dernier explique les motifs de son appréciation divergente de manière convaincante et circonstanciée. Quant au Dr C.________, il n’explicite pas dans ses rapports précités les raisons qui l’amènent à retenir un trouble schizo-affectif. Le dernier rapport du médecin traitant date de février 2017 et ne permet pas de remettre en cause les conclusions de l’expertise. Le Dr C.________ expose que le recourant présente des idées de persécution, une angoisse, un trouble de la concentration, une fatigue, des idées de suicide, une</w:t>
      </w:r>
    </w:p>
    <w:p>
      <w:r>
        <w:t>- 12 - perte de confiance et de la méfiance (rapport du 24 février 2016), mais ne motive pas davantage ses conclusions. Pour le surplus, on relève que le recourant substitue son appréciation à celle de l’expert en considérant que ce dernier avait sous-estimé les trois épisodes où il était fait état d’une symptomatologie « étrange ». Il n’amène aucune explication médicale pour appuyer ses dires et ne produit aucun rapport à ce sujet, en particulier aucun rapport récent de son psychiatre traitant. Il en va de même pour les griefs relatifs aux épisodes d’agressivité et au sentiment d’hostilité, qui ne sont pas étayés. d) Le recourant reproche à l’expert de ne pas avoir investigué la question de la fibromyalgie et des troubles somatoformes douloureux. Le Dr K.________ retient à cet égard qu’il était prêt à prendre en considération, parmi les diagnostics différentiels, également celui de fibromyalgie et de troubles somatoformes douloureux pour rendre compte de la symptomatologie algique, mais il y avait renoncé en raison de la disparition de cette dernière du tableau clinique, selon les dires du recourant (p. 37 de l’expertise). Ce dernier indique dans ses écritures qu’il présente toujours des douleurs chroniques, mais comme l’intimé ne les avait pas reconnues, il n’en avait pas parlé à l’expert. On constate que le diagnostic de fibromyalgie ou de troubles somatoformes douloureux n’est posé ni par le médecin traitant, ni par le psychiatre traitant du recourant, ni par les médecins de la Fondation L.________ (rapports des 25 novembre 2010 et 16 janvier 2015), quand bien même l’existence d’un tel diagnostic avait été évoquée quelques années auparavant (p. 9 de l’expertise). En l’absence de rapport étayé sur cette question, rien ne permet de s’écarter de l’appréciation de l’expert. e) En définitive, les conclusions de l’expertise du 23 février 2018 peuvent être suivies, soit une capacité de travail de 100 % dans la dernière activité exercée, sous réserve d’une diminution de rendement de 20 %.</w:t>
      </w:r>
    </w:p>
    <w:p>
      <w:r>
        <w:t>- 13 -</w:t>
      </w:r>
    </w:p>
    <w:p>
      <w:r>
        <w:rPr>
          <w:b/>
        </w:rPr>
        <w:t>E. 5</w:t>
      </w:r>
    </w:p>
    <w:p>
      <w:r>
        <w:t>Dans le cadre de la présente procédure, le recourant a produit différents rapports relatifs à son poignet droit. Il fait valoir une aggravation de la situation à cet égard. a)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 121 V 362 consid. 1b ; TF 9C_719/2016 du 1er mai 2017 consid. 2). Un rapport médical doit être pris en considération s’il a trait à la situation antérieure à la date déterminante (ATF 99 V 98 consid. 4 ; TF 9C_34/2017 du 20 avril 2017 consid. 5.2). b) Les lésions du poignet du recourant ont été discutées dans le précédent arrêt du 13 novembre 2017 de la Cour de céans, qui retient qu’au plan somatique, la situation est restée stable, si bien que l’instruction complémentaire ne devait porter que sur l’aspect psychiatrique. On constate que le recourant ne fait pas valoir de nouveaux arguments et avis médicaux sur ce point entre la date de l’arrêt du 13 novembre 2017 et celle de la nouvelle décision du 13 septembre 2018 de l’intimé. En effet, on ne peut pas prendre en compte l’IRM du 9 janvier 2019 qui est postérieure à la décision et qui fait l’objet d’une nouvelle demande de prestations (duplique du 4 avril 2019 et déterminations du 20 juin 2019). Quant aux rapports des 28 février et 9 mai 2019 produits par le recourant à l’appui de ses écritures, on relève qu’ils ne portent pas sur la période examinée dans le cadre de la présente procédure. Ils ne sauraient dès lors être pris en considération en l’occurrence.</w:t>
      </w:r>
    </w:p>
    <w:p>
      <w:r>
        <w:rPr>
          <w:b/>
        </w:rPr>
        <w:t>E. 6</w:t>
      </w:r>
    </w:p>
    <w:p>
      <w:r>
        <w:t>Dès lors que le recourant ne remet pas en cause le calcul du degré d’invalidité, il n’y a pas lieu de s’écarter de la décision litigieuse. Par conséquent, le droit à la rente n’est pas ouvert (taux d’invalidité de 20 %).</w:t>
      </w:r>
    </w:p>
    <w:p>
      <w:r>
        <w:rPr>
          <w:b/>
        </w:rPr>
        <w:t>E. 7</w:t>
      </w:r>
    </w:p>
    <w:p>
      <w:r>
        <w:t>a) Selon l’art. 8 al. 1 LAI, les assurés invalides ou menacés d’une invalidité (art. 8 LPGA) ont droit à des mesures de réadaptation pour</w:t>
      </w:r>
    </w:p>
    <w:p>
      <w:r>
        <w:t>- 14 -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b) Selon l'art. 21 al. 4 LPGA (voir également l'art. 7 al. 1 LAI),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Le sens et le but de la procédure de mise en demeure prescrite à l'art. 21 al. 4 LPGA est de rendre l'assuré attentif aux conséquences négatives possibles d'une attitude rénitente à collaborer, afin qu'il soit à même de prendre une décision en pleine connaissance de cause et, le cas échéant, de modifier sa conduite. Une telle procédure doit s'appliquer même lorsque l'assuré a manifesté de manière claire et incontestable qu'il n'entendait pas participer à un traitement ou à une mesure de réadaptation (TF 9C_100/2008 du 4 février 2009 consid. 3.2 ; I 552/06 du 13 juin 2007 consid. 3.1 et les références). c) Par courrier du 29 mai 2018, l’intimé a procédé à la mise en demeure formelle requise par la loi. Le recourant a clairement exprimé refuser les propositions de l’intimé par courrier du 6 juin 2018, soit de ne pas collaborer à une réinsertion professionnelle. Par conséquent, la</w:t>
      </w:r>
    </w:p>
    <w:p>
      <w:r>
        <w:t>- 15 - décision attaquée n’est pas critiquable concernant le refus des mesures professionnelles, ce que le recourant ne conteste au demeurant pas.</w:t>
      </w:r>
    </w:p>
    <w:p>
      <w:r>
        <w:rPr>
          <w:b/>
        </w:rPr>
        <w:t>E. 8</w:t>
      </w:r>
    </w:p>
    <w:p>
      <w:r>
        <w:t>Vu l’issue de la procédure, il n’y a pas lieu de procéder à la mesure d’instruction requise par le recourant, dès lors que la mise en œuvre d’une expertise pluridisciplinaire n’apparaît pas de nature à apporter un éclairage différent des éléments retenus ci-dessus. Elle peut dès lors être écartée par appréciation anticipée des preuves (ATF 141 I 60 consid. 3.3).</w:t>
      </w:r>
    </w:p>
    <w:p>
      <w:r>
        <w:rPr>
          <w:b/>
        </w:rPr>
        <w:t>E. 9</w:t>
      </w:r>
    </w:p>
    <w:p>
      <w:r>
        <w:t>a) Mal fondé, le recours doit par conséquent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Toutefois, dès lors qu’il a obtenu, au titre de l’assistance judiciaire, l’exonération d’avances et des frais de justice, ces frais sont laissés provisoirement à la charge de l’Etat (art. 122 al. 1 let. b et 123 CPC [code fédéral de procédure civile du 19 décembre 2008 ; RS 272], applicable par renvoi de l’art. 18 al. 5 LPA-VD). c) Il n’y a pas lieu d’allouer de dépens, le recourant n’obtenant pas gain de cause (art. 61 let. g LPGA). d) Par décision de la juge instructrice du 26 septembre 2018, le recourant a été mis au bénéfice de l’assistance judiciaire avec effet au 21 septembre 2018 et a obtenu à ce titre la commission d’un avocat d’office en la personne de Me Radivoje Stamenkovic. Ce dernier a produit sa liste des opérations le 12 août 2019. Ces opérations étant justifiées, l’indemnité de Me Stamenkovic est arrêtée à 2'171 fr. 25, débours et TVA compris (10 heures et quarante minutes x 180 fr., plus 96 fr. de débours et 155 fr. 25 de TVA). La rémunération de l’avocat d’office est provisoirement</w:t>
      </w:r>
    </w:p>
    <w:p>
      <w:r>
        <w:t>- 16 - supportée par le canton, le recourant étant rendu attentif au fait qu’il est tenu d’en rembourser le montant dès qu’il sera en mesure de le faire (art. 123 al. 1 CPC,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