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ZD18.038288 vom 22. Juli 2019</w:t>
      </w:r>
    </w:p>
    <w:p>
      <w:r>
        <w:t>VD Tribunal cantonal, 2019-07-22, FR</w:t>
      </w:r>
    </w:p>
    <w:p>
      <w:r>
        <w:rPr>
          <w:b/>
        </w:rPr>
        <w:t xml:space="preserve">Quelle: </w:t>
      </w:r>
      <w:r>
        <w:t>https://mcp.opencaselaw.ch/entscheid/vd_gerichte_ZD18.038288</w:t>
      </w:r>
    </w:p>
    <w:p>
      <w:r>
        <w:t>FR: VD_GERICHTE ZD18.038288 du 22 juillet 2019</w:t>
      </w:r>
    </w:p>
    <w:p>
      <w:r>
        <w:t>IT: VD_GERICHTE ZD18.038288 del 22 luglio 2019</w:t>
      </w:r>
    </w:p>
    <w:p>
      <w:pPr>
        <w:pStyle w:val="Heading2"/>
      </w:pPr>
      <w:r>
        <w:t>Erwägungen</w:t>
      </w:r>
    </w:p>
    <w:p>
      <w:r>
        <w:rPr>
          <w:b/>
        </w:rPr>
        <w:t>E. 7</w:t>
      </w:r>
    </w:p>
    <w:p>
      <w:r>
        <w:t>Il y a ensuite lieu d’examiner le degré d’invalidité de la recourante, celle-ci soutenant que l’intimé n’explique pas le montant fixé à titre de revenu sans invalidité et ne retient pas un taux d’abattement suffisant.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w:t>
      </w:r>
    </w:p>
    <w:p>
      <w:r>
        <w:t>- 20 -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w:t>
      </w:r>
    </w:p>
    <w:p>
      <w:r>
        <w:t>- 21 -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w:t>
      </w:r>
    </w:p>
    <w:p>
      <w:r>
        <w:rPr>
          <w:b/>
        </w:rPr>
        <w:t>E. 8</w:t>
      </w:r>
    </w:p>
    <w:p>
      <w:r>
        <w:t>a) En l’espèce, l’intimé a retenu un revenu sans invalidité de 53'793 fr. à 100 % en se fondant sur l’ESS 2014 dans une activité non qualifiée du domaine de la production et des services, respectivement de 43'034 fr. 40 à 80 %. La recourante n’expose pas en quoi ces montants seraient contraires au droit et ne produit aucun document qui permettrait de s’écarter de ces chiffres, qui sont conformes à la jurisprudence (consid. 7a et b supra). La recourante ne formule pas de critiques à l’encontre du revenu avec invalidité de 16'137 fr. 90, soit le 30 % de 53'793 fr. fixé selon les mêmes données statistiques. b) S’agissant de l’abattement, on ne voit pas en quoi il se justifie de tenir compte de la nationalité (suisse) de la recourante à titre de facteur de réduction. Elle n’est aucunement désavantagée de ce fait dans ses perspectives salariales. Pour ce qui est des limitations fonctionnelles, le taux de travail de 30 % prend déjà en considération les restrictions présentées par la recourante. Le Dr G.________ n’a pas signalé de réduction supplémentaire en raison de l’atteinte à la santé (expertise du 11 avril 2017). Il n’y a dès lors pas lieu de prendre en considération une réduction supplémentaire (TF 9C_160/2014 du 30 juin 2014 consid. 5.1). c) Après comparaison du revenu d’invalide avec la méthode utilisée avant le 1er janvier 2018, de 16'137 fr. 90 au revenu sans invalidité de 43'034 fr. 40, le taux d’invalidité de la recourante se monte à 62,5 %, ([43'034,40 – 16'137,90] x 100 / 43'034,40). Après pondération au vu de l’enquête ménagère qui conclut à une invalidité de 16,70 % dans les travaux ménagers, le degré d’invalidité global est de 53,34 % ([80 % x 62,5 %] + [20 % x 16,7 %]), ce qui ouvre le droit à une demi-rente.</w:t>
      </w:r>
    </w:p>
    <w:p>
      <w:r>
        <w:t>- 22 - S’agissant du mode de calcul applicable après le 1er janvier 2018, le taux d’invalidité de la recourante se monte à 70 %, ([53'793 – 16'137,90] x 100 / 53'793) après comparaison du revenu d’invalide de 16'137 fr. 90 au revenu sans invalidité de 53'793 francs. Après pondération au vu de l’enquête ménagère qui conclut à une invalidité de 16,70 % dans les travaux ménagers, le degré d’invalidité global est de 59,34 % ([80 % x 70 %] + [20 % x 16,7 %]), ce qui ouvre également le droit à une demi-rente. d) Concernant la date du début du droit à la rente, l’intimé l’a fixée au 1er février 2014, soit six mois après le dépôt de la demande le 26 août 2013, ce qui est conforme à la jurisprudence en la matière dès lors que l’invalidité de la recourante est renée pour des motifs autres, à savoir le décès de son frère et la maladie de son fils, que ceux qui avaient justifié l’octroi de la précédente rente (consid. 4b supra).</w:t>
      </w:r>
    </w:p>
    <w:p>
      <w:r>
        <w:rPr>
          <w:b/>
        </w:rPr>
        <w:t>E. 9</w:t>
      </w:r>
    </w:p>
    <w:p>
      <w:r>
        <w:t>La recourante conteste encore la rente pour enfant octroyée par décision de l’intimé du 23 août 2018. 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 de la rente d’invalidité correspondant au revenu annuel moyen déterminant. b) En l’occurrence, la décision litigieuse retient un revenu annuel moyen déterminant de 42'300 fr., ce que la recourante ne conteste pas, et applique l’échelle 44 pour déterminer le montant de la rente. Ladite échelle fixe la rente pour enfant à 714 fr. pour le revenu annuel moyen déterminant précité. Avec une demi-rente d’invalidité en faveur de la recourante, le montant de 357 fr. a été retenu à juste titre par l’intimé. Au vu de l’octroi d’une demi-rente, cette manière de procéder ne prête pas flanc à la critique.</w:t>
      </w:r>
    </w:p>
    <w:p>
      <w:r>
        <w:t>- 23 -</w:t>
      </w:r>
    </w:p>
    <w:p>
      <w:r>
        <w:rPr>
          <w:b/>
        </w:rPr>
        <w:t>E. 10</w:t>
      </w:r>
    </w:p>
    <w:p>
      <w:r>
        <w:t>Compte tenu de ce qui précède, il n’y a pas lieu de donner suite à la mise en œuvre d’une nouvelle enquête ménagère requise par la recourante. En effet, une telle mesure d’instruction ne serait pas de nature à modifier les considérations qui précèdent (appréciation anticipée des preuves ; ATF 137 III 208 consid. 2.2 ; 135 II 286 consid. 5.1).</w:t>
      </w:r>
    </w:p>
    <w:p>
      <w:r>
        <w:rPr>
          <w:b/>
        </w:rPr>
        <w:t>E. 11</w:t>
      </w:r>
    </w:p>
    <w:p>
      <w:r>
        <w:t>a) Partant, les recours, mal fondés, doivent être rejetés et les décisions des 19 juillet et 23 août 2018 confirmées.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