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ZD18.037288 vom 26. September 2019</w:t>
      </w:r>
    </w:p>
    <w:p>
      <w:r>
        <w:t>VD Tribunal cantonal, 2019-09-26, FR</w:t>
      </w:r>
    </w:p>
    <w:p>
      <w:r>
        <w:rPr>
          <w:b/>
        </w:rPr>
        <w:t xml:space="preserve">Quelle: </w:t>
      </w:r>
      <w:r>
        <w:t>https://mcp.opencaselaw.ch/entscheid/vd_gerichte_ZD18.037288</w:t>
      </w:r>
    </w:p>
    <w:p>
      <w:r>
        <w:t>FR: VD_GERICHTE ZD18.037288 du 26 septembre 2019</w:t>
      </w:r>
    </w:p>
    <w:p>
      <w:r>
        <w:t>IT: VD_GERICHTE ZD18.037288 del 26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w:t>
      </w:r>
    </w:p>
    <w:p>
      <w:r>
        <w:rPr>
          <w:b/>
        </w:rPr>
        <w:t>E. 2</w:t>
      </w:r>
    </w:p>
    <w:p>
      <w:r>
        <w:t>Le litige porte sur le droit de la recourante à une rente d’invalidité.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- 8 -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 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w:t>
      </w:r>
    </w:p>
    <w:p>
      <w:r>
        <w:t>- 9 -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w:t>
      </w:r>
    </w:p>
    <w:p>
      <w:r>
        <w:rPr>
          <w:b/>
        </w:rPr>
        <w:t>E. 4</w:t>
      </w:r>
    </w:p>
    <w:p>
      <w:r>
        <w:t>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S’agissant de la prise en compte de l’empêchement dans le ménage dû à l’invalidité, singulièrement de l’aide des membres de la</w:t>
      </w:r>
    </w:p>
    <w:p>
      <w:r>
        <w:t>- 10 -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 2 et les références citées ; TF 9C_925/2013 du 1er avril 2014 consid. 2.3 et les références citées).</w:t>
      </w:r>
    </w:p>
    <w:p>
      <w:r>
        <w:rPr>
          <w:b/>
        </w:rPr>
        <w:t>E. 5</w:t>
      </w:r>
    </w:p>
    <w:p>
      <w:r>
        <w:t>a) En l’espèce, l’assurée ne conteste pas l’appréciation de son état de santé et des répercussions sur sa capacité de travail opérée par l’intimé. Celui-ci s’est notamment fondé sur l’évaluation des rhumatologues (cf. rapport des 2 novembre 2016 et 10 mai 2017 du Dr P.________, expertise du 30 janvier 2017 du Dr F.________). Outre l’atteinte rhumatologique, des vertiges et une tachycardie existant depuis juillet 2016 ont été mentionnés en tant qu’éléments nouveaux dans l’enquête ménagère du 17 janvier 2017. L’OAI n’a pas instruit ces problématiques. Le médecin traitant n’en a effectivement pas fait état dans son rapport du 10 octobre 2016, alors qu’il avait vu sa patiente en consultation le 24 août 2016, soit peu après l’apparition de ces atteintes. Il ne les a pas non plus évoquées ultérieurement, à l’instar du Dr P.________. L’assurée ne s’en prévaut ni dans son opposition, ni dans son recours. Quoi qu'il en soit, l'intimé a estimé qu’elle ne pouvait plus mettre en valeur sa capacité résiduelle de travail, ce qui n’est pas contesté. b) En revanche, la recourante a critiqué le statut de 25 % en tant qu’active et de 75 % en tant que ménagère retenu par l’OAI. Tout d’abord, l’assurée a affirmé que depuis 2003, elle avait toujours voulu travailler à 100 %, demande à laquelle son employeur n’avait pu donner suite. Toutefois, dans le formulaire de détermination du statut qu’elle a complété le 19 octobre 2016, en réponse à la question de savoir à quel taux elle exercerait une activité si elle n’était pas atteinte dans sa santé, elle a indiqué « 25 % », depuis mars 2003. En outre, il ressort de l’enquête ménagère qu’elle a toujours travaillé à un taux de 25 %, lequel lui convenait très bien, lui permettant de s’occuper de sa famille.</w:t>
      </w:r>
    </w:p>
    <w:p>
      <w:r>
        <w:t>- 11 - Il est ajouté que les gains réalisés, combinés à ceux de son époux, suffisaient à l’équilibre financier du ménage. Enfin, l’enquêteur a précisé que même si elle avait mentionné avoir voulu travailler un peu plus, elle n’avait jamais vraiment cherché d’autre emploi (cf. rapport d’enquête ménagère précité, p. 3). Ce n’est que dans le cadre de l’opposition que l’assurée a évoqué avoir désiré obtenir une activité à 100 % et avoir « constamment » cherché du travail dans d’autres sociétés. Selon la jurisprudence, en cas de déclarations successives contradictoires,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8C_815/2016 du 14 mars 2017 consid. 6.1). Les allégations de la recourante quant à un statut d’active à 100 %, formulées dans un second temps, doivent ainsi être écartées, d’autant plus que l’intéressée relève elle-même, et de manière contradictoire, que les frais de garde de ses enfants auraient été plus importants que le salaire auquel elle aurait pu prétendre (cf. courrier d’opposition du 14 mai 2018). L’assurée fait encore valoir que ses heures de travail en tant que nettoyeuse dans des écoles devraient être prises en considération. Elle a produit à cet effet plusieurs décomptes de salaire de la Ville de [...]. Il en ressort que de 2008 à 2015, elle a exercé chaque été une activité d’auxiliaire, pour un total variant entre 60 et 78 heures de travail. Même si l’intéressée a omis de mentionner cette activité dans sa demande de prestations et ne l’a pas non plus indiquée dans le formulaire de détermination du statut, elle a fourni, dans le cadre du recours, des documents attestant ce travail. Au vu de la régularité de celui-ci, il est vraisemblable que l’assurée l’aurait continué si elle n’avait pas été atteinte dans sa santé au début de l’année 2016. Par ailleurs, le taux d’activité exercé auprès de C.________ s’élève certes à 23,25 % et non à 25 %, mais il n’est pas exclu qu’une éventuelle prise en compte des heures exercées en qualité d’auxiliaire aboutisse à un taux légèrement supérieur à 25 %. S’agissant de cette activité auprès de la Ville de [...], l’OAI s’est limité à relever que la question du revenu sans invalidité pouvait</w:t>
      </w:r>
    </w:p>
    <w:p>
      <w:r>
        <w:t>- 12 - demeurer ouverte puisqu’il avait retenu un revenu d’invalide nul, ce qui aboutissait en tout état de cause à une perte de gain de 100 %. Cette remarque est correcte, mais elle ne résout pas la question en lien avec le pourcentage de la part active de la recourante. Il convient ainsi de renvoyer la cause à l’OAI afin qu’il examine cette problématique, avant de déterminer le taux des parts active et ménagère de la recourante. c) La recourante critique également les conclusions de l’enquête ménagère fixant le taux d’empêchement pour la part ménagère à 19,15 %. Il y a tout d’abord lieu de rappeler que la jurisprudence admet qu’un assuré peut demander de l’aide à ses proches, dans une mesure convenable (cf. consid. 4 supra). A ce titre, même si l’enquêteur a noté que la fille de l’assurée ne prenait pas le repas de midi à domicile – alors que la recourante affirme lui préparer ce repas, qu’elle emporte sur son lieu de travail – on peut exiger d’elle, âgée de 20 ans au moment de la décision litigieuse, qu’elle se cuisine elle-même ce plat. En outre, le fait que la fille de l’assurée a débuté une activité lucrative à 100 % – postérieurement à la décision litigieuse – ne l’empêche pas de participer au ménage, notamment à l’entretien de sa chambre et au changement des draps de lits. L’exécution de ces tâches peut raisonnablement être attendue d’un jeune adulte, même s’il exerce une activité à temps plein, et ce également en l’absence d’atteinte à la santé de l’un de ses parents. L’enquête ménagère a été rédigée par une personne qualifiée, qui s’est rendue au domicile de la recourante. S’agissant des postes de la conduite du ménage, de l’alimentation, de l’entretien du logement, des courses, de la lessive et du soins aux enfants, elle est suffisamment motivée et rédigée de manière détaillée. Concernant en particulier les difficultés de l’assurée liées à la lessive, l’enquêteur les a prises en compte, en relevant qu’elle s’organisait pour n’avoir que de petites quantités de linge à transporter à la buanderie de l’immeuble ou qu’elle profitait de faire les lessives dans la machine de l’appartement. Il a retenu un empêchement à cet égard.</w:t>
      </w:r>
    </w:p>
    <w:p>
      <w:r>
        <w:t>- 13 - L’enquête n’est cependant pas complète s’agissant des tâches liées à l’entretien du jardin-terrasse. L’enquêteur a décrit un « petit jardin devant l’appartement, sans fleurs et sans potager » (cf. p. 4). Il n’a toutefois pas repris cet élément sous la rubrique « divers », prévue notamment pour discuter de l’entretien des plantes et du jardin. Selon l’intimé, cela s’expliquerait vraisemblablement par le fait que l’enquêteur a estimé que le temps à y consacrer n’était pas significatif compte tenu notamment de l’obligation de diminuer le dommage incombant à l’assurée et de l’aide des membres de sa famille. Toutefois, si l’enquêteur était effectivement parvenu à cette conclusion, il lui appartenait de l’indiquer, comme il l’a d’ailleurs fait s’agissant des tâches en lien avec les animaux de la recourante. Il a en outre relevé un petit jardin sans fleurs et sans potager, alors que l’intéressée mentionne des rosiers et une haie à tailler. Il s’agit de travaux de force impliquant les mains, visés par les limitations fonctionnelles relevées par les Drs P.________, J.________ et L.________. Même un taux d’empêchement minime, prenant en compte l’obligation de diminuer le dommage et l’aide exigible des proches, pourrait avoir une influence sur les droits de l’assurée, de sorte que l’on ne peut se contenter de suppositions sur ce point. L’empêchement en lien avec le jardin- terrasse doit être clarifié. d) Au vu de ce qui précède, il se justifie d’ordonner le renvoi de la cause à l’intimé, à qui il appartient au premier chef d’instruire, conformément au principe inquisitoire qui régit la procédure dans le domaine des assurances sociales selon l’art. 43 al. 1 LPGA. Il devra instruire la question de l’activité de nettoyeuse auxiliaire dans des écoles afin de déterminer son influence ou non sur le taux des parts active et ménagère de la recourante. Il lui appartiendra également de mettre en œuvre un complément de l’enquête ménagère sur la question des potentiels empêchements liés à l’entretien du jardin-terrasse. Il lui incombera ensuite de statuer à nouveau sur le droit de l’assurée à une rente.</w:t>
      </w:r>
    </w:p>
    <w:p>
      <w:r>
        <w:t>- 14 -</w:t>
      </w:r>
    </w:p>
    <w:p>
      <w:r>
        <w:rPr>
          <w:b/>
        </w:rPr>
        <w:t>E. 6</w:t>
      </w:r>
    </w:p>
    <w:p>
      <w:r>
        <w:t>a) En conclusion, le recours, bien fondé, doit être admis et la décision attaquée annulée, la cause étant renvoyée à l’intimé pour complément d’instruction au sens des considérants et nouvelle décision. b) En dérogation à l’art. 61 let. a LPGA, la procédure de recours en matière de contestation portant sur l’octroi ou le refus de prestations de l’assurance-invalidité devant le tribunal cantonal des assurances est soumise à des frais de justice (art. 69 al. 1bis LAI). En l’occurrence, les frais doivent être fixés à 400 fr. et mis à la charge de l'OAI, qui succombe (art. 49 al. 1 LPA-VD). La recourante, qui obtient gain de cause sans l'assistance d'un mandataire professionnel, n'a pas droit à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