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ZD18.032956 vom 5. November 2019</w:t>
      </w:r>
    </w:p>
    <w:p>
      <w:r>
        <w:t>VD Tribunal cantonal, 2019-11-05, FR</w:t>
      </w:r>
    </w:p>
    <w:p>
      <w:r>
        <w:rPr>
          <w:b/>
        </w:rPr>
        <w:t xml:space="preserve">Quelle: </w:t>
      </w:r>
      <w:r>
        <w:t>https://mcp.opencaselaw.ch/entscheid/vd_gerichte_ZD18.032956</w:t>
      </w:r>
    </w:p>
    <w:p>
      <w:r>
        <w:t>FR: VD_GERICHTE ZD18.032956 du 5 novembre 2019</w:t>
      </w:r>
    </w:p>
    <w:p>
      <w:r>
        <w:t>IT: VD_GERICHTE ZD18.032956 del 5 novembre 2019</w:t>
      </w:r>
    </w:p>
    <w:p>
      <w:pPr>
        <w:pStyle w:val="Heading2"/>
      </w:pPr>
      <w:r>
        <w:t>Erwägungen</w:t>
      </w:r>
    </w:p>
    <w:p>
      <w:r>
        <w:rPr>
          <w:b/>
        </w:rPr>
        <w:t>E. 1</w:t>
      </w:r>
    </w:p>
    <w:p>
      <w:r>
        <w:t>heure et 10 minutes par jour ; - Pour les actes « se lever » et « s’asseoir » (ch. 4.1.2), il était mentionné que l’enfant ne réussissait pas à se lever seule et qu’elle se manifestait par des cris et en se balançant lorsqu’elle avait besoin d’aide (15 minutes). Il fallait en outre l’aider pour s’asseoir ainsi que pour monter dans une voiture et l’installer dans le siège auto (25 minutes). Le temps supplémentaire était ici évalué à 40 minutes par jour ; - Pour l’acte « manger » (ch. 4.1.3), il était indiqué que les aliments étaient coupés par l’adulte (4 x 2 minutes), qu’ils étaient placés dans une cuillère que M.________ amenait très lentement à la bouche, prenant sinon la nourriture avec les doigts, et que les repas – en grande partie donnés par l’adulte suivant leur consistance – nécessitaient beaucoup de temps car l’intéressée prenait du temps à avaler (4 x 30 minutes). Elle buvait par ailleurs dans un verre en plastique qu’elle tenait à deux mains, celui-ci comportant peu de liquide pour éviter qu’elle renverse et devant lui être retiré afin de ne pas finir par terre (10 minutes). De surcroît, les aliments devaient être coupés très petits pour ne pas se bloquer dans la gorge. Le temps supplémentaire était à cet égard porté à 2 heures et 18 minutes par jour ; - Pour l’acte « faire sa toilette » (ch. 4.1.4), il était observé que les mains étaient lavées avec une lingette ou au lavabo sous la guidance de l’adulte, l’enfant faisant toutefois une crise pour rester jouer avec l’eau (10 minutes). Quant au brossage des dents, il était difficile car M.________ n’ouvrait pas la bouche (5 minutes). La fillette était en outre coiffée par sa mère, n’aidant en rien (2 minutes) et était portée par l’adulte pour entrer et sortir de la baignoire, où il fallait l’asseoir et la surveiller en raison de son équilibre précaire (20 minutes). Le temps supplémentaire était ainsi de 37 minutes par jour ;</w:t>
      </w:r>
    </w:p>
    <w:p>
      <w:r>
        <w:t>- 4 - - Pour l’acte « aller aux toilettes » (ch. 4.1.5), il était exposé que la fillette était langée jour et nuit, qu’elle était changée cinq fois par jour (5 à 10 minutes), bougeant alors dans tous les sens et donnant des coups de pieds, et qu’il fallait le cas échéant la doucher lorsque le lavage à la lingette ne suffisait pas (20 minutes). Il en résultait un temps supplémentaire de 35 minutes par jour ; - Pour les actes « se déplacer dans l’appartement », « se déplacer à l’extérieur » et « établir des contacts sociaux » (ch. 4.1.6), il était rapporté que l’enfant devait être accompagnée pour descendre et monter les escaliers, qu’il était nécessaire de lui donner la main à l’extérieur et qu’elle ne parlait pas et faisait des crises lorsqu’elle ne pouvait pas avoir ce qu’elle voulait. Aucun temps supplémentaire ne pouvait cependant être pris en compte pour ce poste. Enfin, le rapport d’enquête du 21 juin 2010 mentionnait que l’accompagnement chez le neuropédiatre deux fois par an n’était pas pris en compte (2 heures, ch. 4.1.8). Le temps supplémentaire total était conséquemment fixé à 5 heures et 20 minutes par jour, à quoi s’ajoutaient</w:t>
      </w:r>
    </w:p>
    <w:p>
      <w:r>
        <w:rPr>
          <w:b/>
        </w:rPr>
        <w:t>E. 2</w:t>
      </w:r>
    </w:p>
    <w:p>
      <w:r>
        <w:t>Le litige porte en l’espèce sur l’ampleur du supplément pour soins intenses auquel la recourante peut prétendre, la décision attaquée retenant un surcroît de soins de 4 heures par jour que l’intéressée conteste. Le droit à une allocation pour impotence de degré grave n’est, en revanche, pas sujet à controverse.</w:t>
      </w:r>
    </w:p>
    <w:p>
      <w:r>
        <w:rPr>
          <w:b/>
        </w:rPr>
        <w:t>E. 3</w:t>
      </w:r>
    </w:p>
    <w:p>
      <w:r>
        <w:t>a) Le supplément pour soins intenses n'est pas une prestation indépendante, mais implique la préexistence d'une allocation pour impotent (TF 9C_350/2014 du 11 septembre 2014 consid. 4.2.1). A cet égard, est considéré comme impotent celui qui, en raison d'une atteinte à sa santé, a besoin en permanence de l'aide d'autrui ou d'une surveillance personnelle pour accomplir les actes élémentaires de la vie quotidienne (art. 9 LPGA), à savoir : « se vêtir, se dévêtir », « se lever, s'asseoir, se coucher », « manger », « faire sa toilette », « aller aux WC » et « se déplacer à l'intérieur et à l'extérieur, établir des contacts sociaux avec l'entourage » (ATF 127 V 94 consid. 3c). b) Un supplément pour soins intenses peut être ajouté à l'allocation pour impotent lorsque celle-ci est servie à un mineur qui a, en outre, besoin d'un surcroît de soins dont l'accomplissement atteint le seuil minimum quotidien de 4 heures (art. 42ter al. 3, première phrase, LAI et 39 al. 1 RAI [règlement du 17 janvier 1961 sur l'assurance-invalidité ; RS 831.201]). Le point de savoir si l'impotent mineur a droit audit supplément repose ainsi sur une appréciation temporelle de la situation, dans laquelle il convient d'évaluer le surcroît de temps consacré au traitement et aux soins de base par rapport au temps ordinairement consacré auxdits traitements et soins pour un mineur du même âge en bonne santé (TF 9C_350/2014 précité consid. 4.2.3). Le montant mensuel de ce</w:t>
      </w:r>
    </w:p>
    <w:p>
      <w:r>
        <w:t>- 16 - supplément s’élève à 100 % du montant maximum de la rente vieillesse au sens de l’art. 34 al. 3 et 5 LAVS (loi fédérale du 20 décembre 1946 sur l’assurance-vieillesse et survivants ; RS 831.10) lorsque le besoin de soins découlant de l’invalidité est de huit heures par jour au moins, à 70 % de ce montant maximum lorsque le besoin est de six heures par jour au moins, et à 40 % de ce montant maximum lorsque le besoin est de 4 heures par jour au moins.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A cet égard, il faut préciser que les soins de base évoqués à l'art. 39 al. 2 RAI sont bien ceux figurant à l'art. 7 al. 2 let. c OPAS (ordonnance du 29 septembre 1995 sur les prestations dans l'assurance obligatoire des soins en cas de maladie ; RS 832.112.31) et recoupent partiellement les actes ordinaires de la vie mais ne peuvent y être assimilés pour autant. En particulier, l'acte ordinaire « se déplacer à l'intérieur et à l'extérieur / établir des contacts sociaux avec l'entourage » n'est pas un soin de base selon la systématique légale et réglementaire mise en place (cf. dans ce sens TF 9C_350/2014 précité consid. 4.2.3 et les références citées). Pour la détermination des besoins en soins intenses, les organes de l'assurance-invalidité disposent d'un large pouvoir d'appréciation pour autant que les faits aient été élucidés de manière satisfaisante (Michel Valterio, Droit de l'assurance-vieillesse et survivants [AVS] et de l'assurance-invalidité [AI], Genève/Zurich/Bâle 2011, n° 2366 p. 633). c) Lorsqu'un mineur, en raison d'une atteinte à la santé, a besoin en plus d'une surveillance permanente, celle-ci correspond à un surcroît d'aide de 2 heures. Une surveillance particulièrement intense liée à l'atteinte à la santé est équivalente à 4 heures (art. 39 al. 3 RAI).</w:t>
      </w:r>
    </w:p>
    <w:p>
      <w:r>
        <w:t>- 17 - Cette surveillance ne se confond ni avec l'aide apportée pour réaliser les actes ordinaires de la vie, ni avec le surcroît de temps consacré au traitement et aux soins de base (TF 9C_350/2014 précité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lb et 106 V 153 consid. 2a ; TF 9C_831/2017 du 3 avril 2018 consid. 3.1 ; voir ch. 8035 de la Circulaire sur l'invalidité et l'impotence dans l'assurance- invalidité [CIIAI], édictée par l'Office fédéral des assurances sociales [OFAS], applicable par renvoi du ch. 8078 CIIAI).</w:t>
      </w:r>
    </w:p>
    <w:p>
      <w:r>
        <w:t>- 18 -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Commentaire de la loi fédérale sur l'assurance-invalidité [LAI], Genève/Zurich/Bâle 2018, n° 10 ad art. 42ter LAI p. 638). Cela signifie que la personne chargée de l'assistance doit se trouver en permanence à proximité immédiate de l'assuré, car un bref moment d'inattention pourrait de façon très probable mettre en danger la vie de ce dernier ou provoquer des dommages considérables à des personnes ou à des objets (ch. 8079 CIIAI). Le Tribunal fédéral a précisé en particulier que le seul diagnostic d'autisme ne suffisait pas à admettre un cas de surveillance particulièrement intense (TF 9C_666/2013 du 25 février 2014 consid. 8.2.2 ; TFA I 684/05 du 19 décembre 2006 consid. 4.4 et I 67/05 du 6 octobre 2005 consid. 4.1). Cette dernière est par contre admise lorsque l'enfant ne peut être laissé seul cinq minutes et que les parents doivent sans cesse être à même d'intervenir (TFA I 684/05 précité). Seul un poids minimal sera accordé à la surveillance personnelle dans les cas d'impotence grave (TF 9C_457/2015 du 21 octobre 2015 consid. 2.1 et les références citées ; TF I 567/06 du 5 mars 2007 consid. 4). Par définition, l'impotence grave présuppose en effet que l'assuré dépend régulièrement de l'aide d'autrui pour l'accomplissement de tous les actes ordinaires de la vie (ch. 8037 CIIAI renvoyant à l’ATF 106 V 153). d)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w:t>
      </w:r>
    </w:p>
    <w:p>
      <w:r>
        <w:t>- 19 -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w:t>
      </w:r>
    </w:p>
    <w:p>
      <w:r>
        <w:rPr>
          <w:b/>
        </w:rPr>
        <w:t>E. 4</w:t>
      </w:r>
    </w:p>
    <w:p>
      <w:r>
        <w:t>Il convient en premier lieu de se positionner quant au sort de la décision de l’OAI du 30 juillet 2010 octroyant à la recourante une allocation pour impotence grave et un supplément pour soins intenses de</w:t>
      </w:r>
    </w:p>
    <w:p>
      <w:r>
        <w:rPr>
          <w:b/>
        </w:rPr>
        <w:t>E. 6</w:t>
      </w:r>
    </w:p>
    <w:p>
      <w:r>
        <w:t>a) En définitive, le recours, mal fondé, doit être rejeté, ce qui entraîne la confirmation de la décision attaquée. b) La procédure est onéreuse ; en principe, la partie dont les conclusions sont rejetées supporte les frais de procédure (art. 69 al. 1bis LAI et 49 al. 1 LPA-VD). Cependant, lorsqu'une partie a été mise au</w:t>
      </w:r>
    </w:p>
    <w:p>
      <w:r>
        <w:t>- 34 -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BLV 211.02.3]). En l'espèce, compte tenu de l'ampleur de la procédure, les frais de justice doivent être fixés à 400 fr. et devraient être mis à la charge de la recourante, qui succombe (art. 69 al. 1bis LAI et 49 al. 1 LPA-VD). Toutefois, dès lors que cette dernière est au bénéfice de l'assistance judiciaire, ces frais sont laissés provisoirement à la charge de l'Etat. Il n'y a pour le surplus pas lieu d'allouer de dépens, la recourante n'obtenant pas gain de cause (art. 55 al. 1 LPA-VD et 61 let. g LPGA). Quant au montant de l’indemnité due au défenseur d’office, il doit être fixé eu égard aux opérations nécessaires pour la conduite du procès et en considération de l’importance de la cause, de ses difficultés, de l’ampleur du travail et du temps consacré par le conseil juridique commis d’office (art. 2 RAJ). En l’occurrence, Me Hichri n’ayant pas produit la liste de ses opérations dans le délai imparti à cet effet, la Cour de céans statue en équité, sur la base d'une estimation des opérations nécessaires pour la conduite du procès (art. 3 al. 2 RAJ), et fixe l’indemnité d’office à 1’800 fr., débours et TVA compris.</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