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ZD18.027329 vom 26. Februar 2019</w:t>
      </w:r>
    </w:p>
    <w:p>
      <w:r>
        <w:t>VD Tribunal cantonal, 2019-02-26, FR</w:t>
      </w:r>
    </w:p>
    <w:p>
      <w:r>
        <w:rPr>
          <w:b/>
        </w:rPr>
        <w:t xml:space="preserve">Quelle: </w:t>
      </w:r>
      <w:r>
        <w:t>https://mcp.opencaselaw.ch/entscheid/vd_gerichte_ZD18.027329</w:t>
      </w:r>
    </w:p>
    <w:p>
      <w:r>
        <w:t>FR: VD_GERICHTE ZD18.027329 du 26 février 2019</w:t>
      </w:r>
    </w:p>
    <w:p>
      <w:r>
        <w:t>IT: VD_GERICHTE ZD18.027329 del 26 febbraio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w:t>
      </w:r>
    </w:p>
    <w:p>
      <w:r>
        <w:t>- 8 - notamment), le recours contre les décisions des 17 mai et 4 juin 2018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de la recourante à des prestations de l’assurance-invalidité, notamment sur la question de savoir s’il y a motif à révision procédurale d’une décision entrée en force de suppression de rente.</w:t>
      </w:r>
    </w:p>
    <w:p>
      <w:r>
        <w:rPr>
          <w:b/>
        </w:rPr>
        <w:t>E. 3</w:t>
      </w:r>
    </w:p>
    <w:p>
      <w:r>
        <w:t>La recourante critique tout d’abord la décision rendue le 4 juin 2018 par l’intimé relative au rejet de sa demande de révision (procédurale) de la décision de l’OAI du 9 juin 2016 supprimant le versement d’une rente entière d’invalidité. Le grief de la recourante porte sur la violation des règles relatives à la révision procédurale d’une décision, singulièrement sur le point de savoir si les moyens de preuve invoqués conduisaient à la révision procédurale de la décision du 9 juin 2016, laquelle a été rendue à l’issue d’une procédure de révision d’office du droit à la rente de l’intéressée. Se fondant sur un rapport d’expertise du 8 mai 2015 établie par la N.________SA, l’intimé a, à l’époque, considéré que les conditions d’octroi de la rente n’étaient plus remplies.</w:t>
      </w:r>
    </w:p>
    <w:p>
      <w:r>
        <w:rPr>
          <w:b/>
        </w:rPr>
        <w:t>E. 4</w:t>
      </w:r>
    </w:p>
    <w:p>
      <w:r>
        <w:t>L’art. 53 al. 1 LPGA prévoit que les décisions et les décisions sur opposition formellement passées en force sont soumises à révision si l'assuré ou l'assureur découvre subséquemment des faits nouveaux</w:t>
      </w:r>
    </w:p>
    <w:p>
      <w:r>
        <w:t>- 9 - importants ou trouve des nouveaux moyens de preuve qui ne pouvaient être produits auparavant (révision procédurale).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w:t>
      </w:r>
    </w:p>
    <w:p>
      <w:r>
        <w:rPr>
          <w:b/>
        </w:rPr>
        <w:t>E. 5</w:t>
      </w:r>
    </w:p>
    <w:p>
      <w:r>
        <w:t>a) A l’appui de son recours, l’assurée invoque en particulier l’arrêt TF 2C_32/2017 du 22 décembre 2017, dans lequel le Tribunal fédéral a constaté de très graves manquements dans la réalisation d’expertises médicales effectuées par la N.________SA et le fait que cette Clinique ait été sanctionnée par la suspension de son autorisation d’exploiter pour une durée de trois mois. Ces seuls motifs suffiraient à permettre la révision de la décision de suppression de rente. b) Dans l’arrêt précité, le Tribunal fédéral a retenu que les expertises pratiquées auprès du « département expertise » de la N.________SA avaient un poids déterminant pour de nombreux justiciables, de sorte que l’on devait attendre de ces expertises qu’elles soient rendues dans les règles de l’art. Il existait ainsi un intérêt public</w:t>
      </w:r>
    </w:p>
    <w:p>
      <w:r>
        <w:t>- 10 - manifeste à ce que des acteurs intervenants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et en particulier de graves violations des devoirs professionnels incombant à une personne responsable d’un tel établissement. C’est pourquoi le Tribunal fédéral a jugé qu’une mesure de retrait de trois mois de l’autorisation d’exploiter le « département expertise » n’était pas contraire au droit (TF 2C_32/2017 du 22 décembre 2017 consid. 6 et 7). Dans un arrêt plus récent, invoqué par la recourante, le Tribunal fédéral a considéré que l’on ne pouvait reprocher à la Cour cantonale de s’être écartée des conclusions d’un expert travaillant au sein de la N.________SA mandaté par l’assureur-accidents, relevant en particulier qu’il n’était pas certain que l’on puisse accorder pleine confiance aux conclusions de l’expertise pratiquée au sein du « département expertise » de la Clinique précitée en raison des faits constatés (TF 8C_657/2017 du 14 mai 2018 consid. 5.2.2). Enfin, le Tribunal fédéral s’est prononcé de manière claire sur cette question dans l’arrêt 9F_5/2018 du 16 août 2018, publié aux ATF 144 V 258. Il a rappelé l’importance, en droit des assurances sociales, que revêtait une évaluation médicale effectuée dans les règles de l’art pour l’établissement des faits pertinents. Cela impliquait en particulier la neutralité de l’expert, dont la garantie visait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A cet égard, le Tribunal fédéral relève que les manquements constatés au sein du « département</w:t>
      </w:r>
    </w:p>
    <w:p>
      <w:r>
        <w:t>- 11 - expertise » dans la procédure relative au retrait de l’autorisation d’exploiter de la N.________SA soulevaient de sérieux doutes quant à la manière dont des dizaines d’expertise avaient été effectuées au sein de cet établissement et portaient atteinte à la confiance que les personnes assurées et les organes de l’assurance-invalidité étaient en droit d’accorder à l’institution chargée de l’expertise. Dès lors, de même que l’organe d’exécution de l’assurance-invalidité ou le juge ne pouvait se fonder sur un rapport médical qui, en soi, remplissait les exigences en matière de valeur probante lorsqu’il existait des circonstances qui soulevaient des doutes quant à l’impartialité et l’indépendance de son auteur, fondés non pas sur une impression subjective mais une approche objective, il n’était pas admissible de reprendre les conclusions d’une expertise qui avait été établie dans des circonstances ébranlant de manière générale la confiance placée dans l’institution mandatée pour l’expertise en cause. Le Tribunal fédéral est ainsi parvenu à la conclusion qu’il n’était pas possible d’accorder pleine confiance à une expertise rendue par un médecin psychiatre au sein de la Clinique concernée, peu importait le point de savoir si le responsable médical du « département expertise » était concrètement intervenu dans la rédaction du rapport de l’expert psychiatre, voire en avait modifié le contenu à l’insu de son auteur (consid. 2.3.2 de l’arrêt précité). c) En l’occurrence, l’intimé a mandaté la N.________SA pour la mise en œuvre d’une expertise pluridisciplinaire (psychiatrie, médecine interne et rhumatologie) dans le cadre de la troisième révision d’office du droit à la rente de l’assurée, alors que celle-ci était au bénéfice d’une telle rente depuis le 1er août 1998 et que son maintien avait été confirmé à deux reprises (2005 et 2010). L’expertise en question a eu un poids décisif dans la décision de suppression de la rente entière d’invalidité de l’assurée, puisque l’intimé s’est fondé essentiellement, voire exclusivement, sur le rapport y relatif rendu le 8 mai 2015 pour aboutir à la conclusion que la recourante n’avait pas d’atteinte à la santé invalidante et qu’elle disposait d’une capacité de travail entière dans toute activité. L’expertise a été effectuée par trois</w:t>
      </w:r>
    </w:p>
    <w:p>
      <w:r>
        <w:t>- 12 - médecins dont un médecin psychiatre au sein de la N.________SA et réalisée à une époque où le responsable médical du « département expertise » modifiait illicitement le contenu de rapports. Indépendamment de savoir si ce responsable est concrètement intervenu dans la rédaction du rapport, voire en a modifié le contenu à l’insu de son auteur, force est d’admettre que cette expertise ne peut servir de fondement pour statuer sur le droit de la recourante au maintien des prestations de l’assurance-invalidité (en l’espèce une rente ordinaire entière). En effet, les exigences liées à la qualité de l’exécution d’un mandat d’expertise médicale en droit des assurances sociales ne peuvent être considérées comme suffisamment garanties au sein du « département expertise » de la N.________SA. Ainsi, comme le soutient à juste titre la recourante, les faits en cause sont de nature à modifier l’état de fait à la base de la décision dont elle demande la révision, dès lors que si l’intimé, contrairement à ce que celui-ci laisse entendre, avait eu connaissance de ces faits, il n’aurait pas pu valablement se fier à une telle expertise pour déterminer le droit aux prestations de l’assurée, d’autant plus qu’en l’état, le dossier ne contient aucun autre document médical suffisamment étayé pour permettre de se déterminer sur les atteintes à la santé de l’assurée et sur leur éventuel impact en lien avec la capacité de travail de celle-ci. Compte tenu de ce qui précède, il n’y a pas lieu d’examiner plus avant les griefs de la recourante relatifs à la forme et au contenu de l’expertise incriminée, dès lors que le seul fait que l’on ne puisse accorder pleine confiance au rapport compte tenu des circonstances dans lesquelles il a été rendu suffit à admettre la réalisation des conditions d’une révision procédurale. Par conséquent, dans la mesure où la recourante a établi l’existence d’un élément de fait nouveau faisant apparaître la base de la décision du 9 juin 2016 comme comportant des défauts objectifs, l’intimé n’était pas fondé, par sa décision du 4 juin 2018, a rejeté la demande de révision de l’assurée. Au demeurant, la demande de révision déposée moins de trois mois après que la recourante a eu connaissance du motif de</w:t>
      </w:r>
    </w:p>
    <w:p>
      <w:r>
        <w:t>- 13 - révision respecte le délai légal de 90 jours (art. 67 al. 1 PA [loi fédérale du 20 décembre 1968 sur la procédure administrative ; RS 172.021] par renvoi de l’art. 55 al. 1 LPGA), ce qui n’est du reste pas contesté. Dès lors que le rapport d’expertise du 8 mai 2015 de la N.________SA ne pouvait servir de fondement à la décision relative au droit aux prestations AI et faute d’autres pièces médicales au dossier qui aurait permis à l’intimé de confirmer les conclusions du rapport d’expertise, il n’est pas possible d’apprécier de manière circonstanciée l’état de santé de la recourante ainsi que les éventuelles répercussions négatives de celui-ci sur sa capacité de travail. d) Il s’ensuit que la cause doit être renvoyée à l’intimé – auquel il revient au premier chef d’instruire – pour qu’il complète l’instruction sur le plan médical, en mettant en œuvre une expertise pluridisciplinaire, laquelle devra être effectuée conformément à l’art. 44 LPGA, et pour qu’il statue à nouveau, une fois le rapport d’expertise rendu.</w:t>
      </w:r>
    </w:p>
    <w:p>
      <w:r>
        <w:rPr>
          <w:b/>
        </w:rPr>
        <w:t>E. 6</w:t>
      </w:r>
    </w:p>
    <w:p>
      <w:r>
        <w:t>Dès lors que les conditions d’une révision procédurale sont réalisées, les parties se trouvent replacées dans la situation existante lorsque la première décision a été rendue. En effet, le présent arrêt a un effet réformateur et modifie le prononcé avec effet ex tunc pour le passé. Partant, il y a lieu d’annuler les décisions rendues par l’OAI les 9 juin 2016,</w:t>
      </w:r>
    </w:p>
    <w:p>
      <w:r>
        <w:rPr>
          <w:b/>
        </w:rPr>
        <w:t>E. 10</w:t>
      </w:r>
    </w:p>
    <w:p>
      <w:r>
        <w:t>juin 2016 et 17 mai 2018. 7. Compte tenu de ce qui précède, le recours contre la décision du 4 juin 2018 doit être admis, en ce sens que la décision précitée est annulée, la demande de révision admise et, par voie de conséquence, les décisions rendues les 9 juin 2016, 10 juin 2016 et 17 mai 2018 annulées, la cause étant renvoyée à l’intimé pour nouvelle décision, après complément d’instruction sous la forme d’une expertise pluridisciplinaire. Dans la mesure où la décision du 17 mai 2018 est annulée, le recours contre cette décision est sans objet. En dérogation à l'art. 61 let. a LPGA, la procédure de recours en matière de contestations portant sur l'octroi ou le refus de prestations de l'assurance-invalidité devant le tribunal cantonal des assurances est</w:t>
      </w:r>
    </w:p>
    <w:p>
      <w:r>
        <w:t>- 14 - soumise à des frais de justice (art. 69 al. 1bis LAI). En l’espèce, compte tenu de l’ampleur de la procédure, il convient de fixer les frais judiciaires à 400 fr. et de les mettre à la charge de l’intimé qui succombe (art. 69 al. 1bis LAI et 49 al. 1 LPA-VD). La recourante, qui obtient gain de cause avec le concours d’un mandataire professionnel, a droit à des dépens qu’il convient d’arrêter en l’espèce à 2’000 fr. et de mettre à la charge de l’intimé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