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ZD18.025939 vom 5. November 2019</w:t>
      </w:r>
    </w:p>
    <w:p>
      <w:r>
        <w:t>VD Tribunal cantonal, 2019-11-05, FR</w:t>
      </w:r>
    </w:p>
    <w:p>
      <w:r>
        <w:rPr>
          <w:b/>
        </w:rPr>
        <w:t xml:space="preserve">Quelle: </w:t>
      </w:r>
      <w:r>
        <w:t>https://mcp.opencaselaw.ch/entscheid/vd_gerichte_ZD18.025939</w:t>
      </w:r>
    </w:p>
    <w:p>
      <w:r>
        <w:t>FR: VD_GERICHTE ZD18.025939 du 5 novembre 2019</w:t>
      </w:r>
    </w:p>
    <w:p>
      <w:r>
        <w:t>IT: VD_GERICHTE ZD18.025939 del 5 novembre 2019</w:t>
      </w:r>
    </w:p>
    <w:p>
      <w:pPr>
        <w:pStyle w:val="Heading2"/>
      </w:pPr>
      <w:r>
        <w:t>Erwägungen</w:t>
      </w:r>
    </w:p>
    <w:p>
      <w:r>
        <w:rPr>
          <w:b/>
        </w:rPr>
        <w:t>E. 9</w:t>
      </w:r>
    </w:p>
    <w:p>
      <w:r>
        <w:t>Le dossier est complet et permet à la Cour de céans de statuer en pleine connaissance de cause. Il n’y a dès lors pas lieu de compléter l’instruction comme le requiert la recourante par la mise en œuvre d’une expertise.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w:t>
      </w:r>
    </w:p>
    <w:p>
      <w:r>
        <w:rPr>
          <w:b/>
        </w:rPr>
        <w:t>E. 10</w:t>
      </w:r>
    </w:p>
    <w:p>
      <w:r>
        <w:t>a) Compte tenu de ce qui précède,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par ailleurs pas lieu d’allouer de dépens, la recourante n’obtenant pas gain de cause (art. 61 let. g LPGA). d) Lorsqu’une partie a été mise au bénéfice de l’assistance judiciaire, comme c'est le cas en l'espèce, une équitable indemnité au conseil juridique désigné d’office pour la procédure est supportée par le canton (art. 122 al. 1 let. a CPC, applicable par renvoi de l’art. 18 al. 5 LPA- VD). Le défenseur d’office a droit au remboursement forfaitaire de ses</w:t>
      </w:r>
    </w:p>
    <w:p>
      <w:r>
        <w:t>- 43 -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l’occurrence, la recourante bénéficie, au titre de l’assistance judiciaire, de la commission d’office d’un avocat en la personne de Me Joël Crettaz à compter du 31 mai 2018. Ce dernier a produit une liste des opérations, datée du 10 juillet 2019, faisant état de 2'944 fr. 80 d’honoraires correspondant à 16 heures 22 consacrées à la défense de la recourante (4 heures 22 par un avocat breveté et 12 heures par un avocat-stagiaire), ainsi que 58 fr. 90 de débours. Force est de constater que le montant total des honoraires a été calculé en tenant compte de l’ensemble des heures de l’avocat breveté et de l’avocat stagiaire au tarif horaire de 180 francs. En appliquant le tarif prévu par l’art. 2 al. 1 let. a et b RAJ, on arrive à un montant de 2'106 fr. ([12 heures x 110 fr.] + [4 heures 22 x 180 fr.]). Les dépens peuvent ainsi être fixés à 105 fr. 30 (2'106 fr. x 5 % [cf. art. 3bis al. 1 RAJ]). Il convient dès lors d’octroyer à Me Crettaz un montant total de 2'381.60 (2'106 fr. + 105 fr. 30 + 170 fr. 30 [TVA à 7.7 %]) pour l’ensemble de ses activités dans la présente affaire. Cette rémunération sera provisoirement supportée par le canton.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