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ZD18.022621 vom 11. Februar 2019</w:t>
      </w:r>
    </w:p>
    <w:p>
      <w:r>
        <w:t>VD Tribunal cantonal, 2019-02-11, FR</w:t>
      </w:r>
    </w:p>
    <w:p>
      <w:r>
        <w:rPr>
          <w:b/>
        </w:rPr>
        <w:t xml:space="preserve">Quelle: </w:t>
      </w:r>
      <w:r>
        <w:t>https://mcp.opencaselaw.ch/entscheid/vd_gerichte_ZD18.022621</w:t>
      </w:r>
    </w:p>
    <w:p>
      <w:r>
        <w:t>FR: VD_GERICHTE ZD18.022621 du 11 février 2019</w:t>
      </w:r>
    </w:p>
    <w:p>
      <w:r>
        <w:t>IT: VD_GERICHTE ZD18.022621 del 11 febbraio 2019</w:t>
      </w:r>
    </w:p>
    <w:p>
      <w:pPr>
        <w:pStyle w:val="Heading2"/>
      </w:pPr>
      <w:r>
        <w:t>Erwägungen</w:t>
      </w:r>
    </w:p>
    <w:p>
      <w:r>
        <w:rPr>
          <w:b/>
        </w:rPr>
        <w:t>E. 7</w:t>
      </w:r>
    </w:p>
    <w:p>
      <w:r>
        <w:t>a) Le juge cantonal qui estime que les faits ne sont pas suffisamment élucidés a en principe le choix entre deux solutions: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w:t>
      </w:r>
    </w:p>
    <w:p>
      <w:r>
        <w:t>- 24 - probante suffisante sur des points décisifs (ATF 137 V 210 consid. 4.4.1.4 et 4.4.1.5). b) En l’espèce, il ressort des considérants qui précèdent que l’instruction menée par l’intimé, soit en particulier le volet psychique du rapport d’expertise de la Clinique E.________ du 22 mars 2017, est partiellement lacunaire (cf. consid. 6c supra), ce dont l’intimé devait se rendre compte au moment où il a statué. Le dossier ne permet pas à la Cour de céans de se prononcer en connaissance de cause. Il convient par conséquent de renvoyer la cause à cette autorité pour une nouvelle expertise psychiatrique, dès lors que c’est à elle qu’il incombe en premier lieu d’instruire, conformément au principe inquisitoire qui régit la procédure dans le domaine des assurances sociales (art. 43 al. 1 LPGA). La cause étant renvoyée à l’intimé, il est prématuré de se prononcer sur la rente réclamée.</w:t>
      </w:r>
    </w:p>
    <w:p>
      <w:r>
        <w:rPr>
          <w:b/>
        </w:rPr>
        <w:t>E. 8</w:t>
      </w:r>
    </w:p>
    <w:p>
      <w:r>
        <w:t>a) En définitive, le recours doit être admis et la décision attaquée annulée, la cause étant renvoyée à l’intimé pour complément d’instruction dans le sens des considérants, puis nouvelle décision.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l’intimé, qui succombe. c) Le recourant, qui obtient gain de cause avec l’assistance d’un mandataire professionnel, a droit à des dépens, dont le montant droit être déterminé d’après l’importance et la complexité du litige (art. 61 let. g LPGA ; art. 10 et 11 TFJDA [tarif du 28 avril 2015 des frais judiciaires et des dépens en matière administrative ; RSV 173.36.5.1]). En l’espèce, les dépens sont arrêtés à 2'700 fr., TVA comprise, à la charge de l’intimé qui succombe (art. 55 al. 2 et 56 al. 2 LPA-VD). Ils couvrent le montant de la liste des opérations produite par le conseil d’office du recourant en date</w:t>
      </w:r>
    </w:p>
    <w:p>
      <w:r>
        <w:t>- 25 - du 5 décembre 2018, de telle sorte qu’aucune indemnité n’est due au titre de l’assistance judiciaire accordée par décision du 19 février 2018.</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