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ZD18.020998 vom 14. August 2020</w:t>
      </w:r>
    </w:p>
    <w:p>
      <w:r>
        <w:t>VD Tribunal cantonal, 2020-08-14, FR</w:t>
      </w:r>
    </w:p>
    <w:p>
      <w:r>
        <w:rPr>
          <w:b/>
        </w:rPr>
        <w:t xml:space="preserve">Quelle: </w:t>
      </w:r>
      <w:r>
        <w:t>https://mcp.opencaselaw.ch/entscheid/vd_gerichte_ZD18.020998</w:t>
      </w:r>
    </w:p>
    <w:p>
      <w:r>
        <w:t>FR: VD_GERICHTE ZD18.020998 du 14 août 2020</w:t>
      </w:r>
    </w:p>
    <w:p>
      <w:r>
        <w:t>IT: VD_GERICHTE ZD18.020998 del 14 agosto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l’assurée à la prise en charge des frais supplémentaires d’un appareil acoustique, plus particulièrement ceux destinés au suivi du dispositif tels que les prestations de service, étant précisé que l’existence d’un cas de rigueur n’est pas contestée.</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w:t>
      </w:r>
    </w:p>
    <w:p>
      <w:r>
        <w:t>- 7 - RS 831.201]). Conformément à cette délégation, le département a édicté l’OMAI (ordonnance fédérale du DFI [Département fédéral de 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La prise en charge de tout moyen auxiliaire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w:t>
      </w:r>
    </w:p>
    <w:p>
      <w:r>
        <w:rPr>
          <w:b/>
        </w:rPr>
        <w:t>E. 4</w:t>
      </w:r>
    </w:p>
    <w:p>
      <w:r>
        <w:t>a) Le chiffre 5.07 de l’annexe à l’OMAI régit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w:t>
      </w:r>
    </w:p>
    <w:p>
      <w:r>
        <w:t>- 8 - exige le remplacement des appareils avant l’expiration de ce délai. Les appareils auditifs doivent être remis par une personne qualifiée. Le forfait est de 840 fr. pour un appareillage monaural et de 1'650 fr. pour un appareillage binaural, hors frais de réparation et de piles. Selon la feuille d’information de l’OFAS relative au nouveau système forfaitaire pour les appareils auditifs, valable dès le 1er juillet 2011, il est précisé que la contribution forfaitaire de 840 fr. pour un appareillage monaural et de 1'650 ff. pour un appareillage binaural couvre tous les frais (matériel et service) pour six ans, à l’exception des frais de piles et de réparation. b) Le chiffre 5.07.2* de l’annexe à l’OMAI précise, s’agissant de la réglementation des cas de rigueur pour les appareils auditifs, que l’Office fédéral des assurances sociales définit les cas dans lesquels des forfaits supérieurs aux montants prévus au ch. 5.07 peuvent être versés pour un appareillage monaural ou binaural. Selon la circulaire concernant la remise des moyens auxiliaires par l’assurance-invalidité (ci-après : la CMAI), éditée par l’Office fédéral des assurances sociales (OFAS),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sans que l’assuré n’ait toutefois droit au meilleur appareillage possible ; le remboursement forfaitaire correspond à une prestation en espèce définie, qui peut, selon les cas, être inférieure ou supérieure aux coûts effectifs (ch. 2052* et 2053* CMAI). Selon le ch. 2056* CMAI, si dans sa recommandation, la clinique ORL conclut à l’existence d’un cas de rigueur, l’office AI décide sur cette base s’il accède ou non à la demande de l’assuré (TF 9C_114/2018</w:t>
      </w:r>
    </w:p>
    <w:p>
      <w:r>
        <w:t>- 9 - du 19 juillet 2018) et, dans l’affirmative, du montant des surcoûts pris en charge. Selon le ch. 2057* CMAI, si la demande de prise en charge est acceptée pour un cas de rigueur, l’assuré fait procéder à l’adaptation avec des appareils auditifs appropriés auprès du fournisseur et facture à l’office AI le montant forfaitaire ainsi que les frais dépassant ce montant à l’aide du formulaire de facturation (en joignant les factures originales de l’ensemble des frais).</w:t>
      </w:r>
    </w:p>
    <w:p>
      <w:r>
        <w:rPr>
          <w:b/>
        </w:rPr>
        <w:t>E. 5</w:t>
      </w:r>
    </w:p>
    <w:p>
      <w:r>
        <w:t>En l’espèce, la recourante conteste le refus de pris de charge en charge par l’OAI des frais d’adaptation et de suivi. Ces frais ne peuvent être que ceux figurant sous la rubrique « [...]» de la facture du 7 août 2017. On rappellera en effet que dans sa décision du 11 avril 2018, l’OAI a admis l’existence d’un cas de rigueur et remboursé, dans ce cadre, les coûts dépassant le montant forfaitaire pour les appareils acoustiques à concurrence de 2'123 fr. 50. Ce montant correspond aux appareils Sonova AG Audeo et Cros B-321 (soit 2'475 fr. 50 et 1'298 fr.), soit au total 3'773 fr. 50, dont est déduit le montant forfaitaire pour l’appareil binaural usuel de 1'650 fr. déjà octroyé par la communication du 19 juillet 2017. Le forfait comprend le suivi usuel (ch. 2042* CMAI). La prestation contestée « [...] » est laissée au libre choix du client. Preuve en est que sur la facture du 7 août 2017, les appareils auditifs avec « [...]» bénéficient d’une année de garantie supplémentaire que ceux sans « [...]». Ces frais n’ont pas être assumés par l’intimé, étant précisé que d’éventuels frais de réparation seraient pris en charge par l’OAI dans le cadre du forfait de 130 fr. (ch. 2044 CMAI). Dès lors, la décision de l’intimée n’apparaît pas critiquable et doit être confirmée.</w:t>
      </w:r>
    </w:p>
    <w:p>
      <w:r>
        <w:rPr>
          <w:b/>
        </w:rPr>
        <w:t>E. 6</w:t>
      </w:r>
    </w:p>
    <w:p>
      <w:r>
        <w:t>a) Sur le vu de ce qui précède, le recours, mal fondé, doit être rejeté, ce qui entraîne la confirmation de la décision litigieuse.</w:t>
      </w:r>
    </w:p>
    <w:p>
      <w:r>
        <w:t>- 10 -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200 fr. et mis à la charge de la recourante, qui succombe. c) Il n'y a par ailleurs pas lieu d'allouer de dépens, le recourant n'obtenant pas gain de cause (art. 61 let. g LPGA). Par ces motifs, la juge unique p r o n o n c e : I. Le recours est rejeté. II. La décision rendue le 11 avril 2018 par l’Office de l’assurance- invalidité pour le canton de Vaud est confirmée. III. Les frais judiciaires, arrêtés à 200 fr. (deux cents francs), sont mis à la charge de la recourante qui succombe. IV. Il n’est pas alloué de dépens. La juge unique : La greffière : Du</w:t>
      </w:r>
    </w:p>
    <w:p>
      <w:r>
        <w:t>- 11 - L'arrêt qui précède est notifié à : - Me Karim Armand Hichri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