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ZD18.019902 vom 3. September 2018</w:t>
      </w:r>
    </w:p>
    <w:p>
      <w:r>
        <w:t>VD Tribunal cantonal, 2018-09-03, FR</w:t>
      </w:r>
    </w:p>
    <w:p>
      <w:r>
        <w:rPr>
          <w:b/>
        </w:rPr>
        <w:t xml:space="preserve">Quelle: </w:t>
      </w:r>
      <w:r>
        <w:t>https://mcp.opencaselaw.ch/entscheid/vd_gerichte_ZD18.019902</w:t>
      </w:r>
    </w:p>
    <w:p>
      <w:r>
        <w:t>FR: VD_GERICHTE ZD18.019902 du 3 septembre 2018</w:t>
      </w:r>
    </w:p>
    <w:p>
      <w:r>
        <w:t>IT: VD_GERICHTE ZD18.019902 del 3 settembre 2018</w:t>
      </w:r>
    </w:p>
    <w:p>
      <w:pPr>
        <w:pStyle w:val="Heading2"/>
      </w:pPr>
      <w:r>
        <w:t>Erwägungen</w:t>
      </w:r>
    </w:p>
    <w:p>
      <w:r>
        <w:rPr>
          <w:b/>
        </w:rPr>
        <w:t>E. 19</w:t>
      </w:r>
    </w:p>
    <w:p>
      <w:r>
        <w:t>novembre 2007 consid. 3.2). Si elle estime que l'état de fait déterminant n'est pas suffisamment établi, ou qu'il existe des doutes sérieux quant à la valeur probante des éléments recueillis, l'administration doit mettre en œuvre les mesures nécessaires au complément de l'instruction (ATF 132 V 93 consid. 6.4).</w:t>
      </w:r>
    </w:p>
    <w:p>
      <w:r>
        <w:t>- 19 - b)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(TF U 571/06 du 29 mai 2007 consid. 4.2, in SVR 2007 UV n° 33 p. 111 ; Ueli Kieser, ATSG-Kommentar, 2ème éd., n° 12 et 17 ad art. 43 LPGA).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(ATF 122 V 157 consid. 1d).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w:t>
      </w:r>
    </w:p>
    <w:p>
      <w:r>
        <w:rPr>
          <w:b/>
        </w:rPr>
        <w:t>E. 22</w:t>
      </w:r>
    </w:p>
    <w:p>
      <w:r>
        <w:t>p. 170, consid. 2). 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 par l'administration en cours d'instruction ne revêtent pas une valeur probante suffisante sur des points décisifs (ATF 137 V 210 consid. 4.4.1.4 et 4.4.1.5).</w:t>
      </w:r>
    </w:p>
    <w:p>
      <w:r>
        <w:t>- 20 - 8. En l’occurrence, compte tenu des carences dont souffre le dossier quant à l’état de santé psychique du recourant, il s’impose de procéder à une nouvelle expertise psychiatrique de ce dernier, laquelle devra cas échéant intégrer l’examen des critères jurisprudentiels pertinents (cf. en matière de troubles dépressifs : ATF 143 V 409). La cause devra par conséquent être renvoyée à l’intimé, auquel il incombe incontestablement de procéder à un tel complément au vu des lacunes de l’instruction constatées sous consid. 6e supra. Il lui appartiendra dans ce contexte d’actualiser préalablement les données médicales somatiques, la nécessité d’une évaluation bidisciplinaire étant réservée en cas de modification éventuelle de l’état de santé du recourant sous l’angle somatique. 9. Il résulte de ce qui précède que le recours, bien fondé, doit être admis, la décision attaquée annulée et la cause renvoyée à l'intimé pour instruction complémentaire dans le sens des considérants. a) En dérogation à l'art. 61 let. a LPGA, la procédure de recours en matière de contestations portant sur l'octroi ou le refus de prestations de l'AI devant le tribunal cantonal des assurances est soumise à des frais judiciaires (art. 69 al. 1bis LAI). En l'espèce, il convient d'arrêter les frais judiciaires à 400 fr. et de les mettre à charge de l'OAI, qui succombe. b) Obtenant gain de cause, le recourant, assisté d'un mandataire professionnel, a par ailleurs droit à des dépens, fixés in casu à 1’500 fr.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