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ZD18.019119 vom 8. Juli 2019</w:t>
      </w:r>
    </w:p>
    <w:p>
      <w:r>
        <w:t>VD Tribunal cantonal, 2019-07-08, FR</w:t>
      </w:r>
    </w:p>
    <w:p>
      <w:r>
        <w:rPr>
          <w:b/>
        </w:rPr>
        <w:t xml:space="preserve">Quelle: </w:t>
      </w:r>
      <w:r>
        <w:t>https://mcp.opencaselaw.ch/entscheid/vd_gerichte_ZD18.019119</w:t>
      </w:r>
    </w:p>
    <w:p>
      <w:r>
        <w:t>FR: VD_GERICHTE ZD18.019119 du 8 juillet 2019</w:t>
      </w:r>
    </w:p>
    <w:p>
      <w:r>
        <w:t>IT: VD_GERICHTE ZD18.019119 del 8 luglio 2019</w:t>
      </w:r>
    </w:p>
    <w:p>
      <w:pPr>
        <w:pStyle w:val="Heading2"/>
      </w:pPr>
      <w:r>
        <w:t>Erwägungen</w:t>
      </w:r>
    </w:p>
    <w:p>
      <w:r>
        <w:rPr>
          <w:b/>
        </w:rPr>
        <w:t>E. 10</w:t>
      </w:r>
    </w:p>
    <w:p>
      <w:r>
        <w:t>janvier 2018 et à l’avis juridique du 5 janvier 2018. Aux termes de sa réplique du 29 juin 2018, le recourant, par Me Dos Santos Gonçalves,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pascales (art. 93 let. a et 96 al. 1 let. a LPA-VD [loi cantonale vaudoise du 28 octobre 2008 sur la procédure administrative ; BLV 173.36]) et respectant les autres conditions formelles prévues par la loi (art. 61 let. b LPGA notamment), le recours est recevable. 2. Le litige s’inscrit dans le cadre de l’octroi d’une rente limitée dans le temps auquel s’applique par analogie l’art. 17 LPGA. Compte tenu des conclusions formulées par l’assuré, il porte implicitement sur le maintien au-delà du 30 avril 2017 de la rente entière allouée depuis le 1er</w:t>
      </w:r>
    </w:p>
    <w:p>
      <w:r>
        <w:t>- 10 - décembre 2016. En revanche, le droit à la rente non contesté du 1er décembre 2016 au 30 avril 2017 n’est pas remis en question par le recourant de sorte que la décision est définitive en tant qu’elle concerne cette période. 3. a) Dans un moyen de nature formelle qu’il convient d’examiner en premier lieu, le recourant laisse entendre dans sa réplique du 10 juillet 2018 que la réponse du 18 juin 2018 de l’OAI à son recours n’est pas suffisamment motivée, et ne consiste qu’en un résumé des faits qui ne lui permettrait pas de se déterminer.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w:t>
      </w:r>
    </w:p>
    <w:p>
      <w:r>
        <w:t>- 11 - décision à rendre (ATF 142 III 360 consid. 4.1.1 ; 141 V 557 consid. 3.2.1 ; 133 III 235 consid. 5.2). S’agissant en particulier du droit de réplique sur les actes de la parties adverses, celui-ci est inconditionnel (ATF 139 I 189 consid. 3.2 et les références ; TF 5D_81/2015 du 4 avril 2016 consid. 2.3.2 et les références). c) En l’occurrence, le recourant ne peut être suivi lorsqu’il se prévaut d’une violation de son droit d’être entendu au motif que l’autorité intimée n’aurait pas pris position dans sa réponse du 18 juin 2018 de façon motivée sur chacun des griefs qu’il a soulevés en recours. Il lui était quoi qu’il en soit loisible de faire valoir ses moyens en réplique, ce qu’il a renoncé à faire dans son écriture du 29 avril 2018. Pour le surplus, le recourant a eu la possibilité d’exposer son point de vue dans le cadre d’un double échange d’écritures. Il ne résulte au demeurant pas de son recours qu’il n’aurait pas compris la portée de la décision attaquée, ni qu’il puisse être reproché à l’intimé de n’avoir pas respecté les exigences découlant du droit d’être entendu dans le cadre de la procédure administrative. Le moyen doit donc être rejeté.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- 12 -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simple appréciation différente d’un état de fait, qui, pour l’essentiel, est demeuré inchangé n’appelle en revanche pas à une révision au sens de l’art. 17 LPGA (ATF 141 V 9 consid. 2.3). Le point de savoir si un tel changement s’est produit doit être tranché en comparant les faits tels qu’ils se présentaient au moment de la</w:t>
      </w:r>
    </w:p>
    <w:p>
      <w:r>
        <w:t>- 13 -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- 14 -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Il n’est pas contesté que le recourant n’est plus en mesure d’effectuer son activité habituelle d’aide-concierge. Se pose toutefois la question de savoir s’il conserve une capacité de travail résiduelle dans une activité adaptée à ses limitations fonctionnelles, ce qu’il nie, à tout le moins implicitement, en déplorant l’absence de collaboration interinstitutionnelle et le fait que l’intimé ait « ignor[é] les autres acteurs sociaux. » Le recourant fait grief à l’intimé de n’avoir pas pris en compte les conclusions de la Fondation A.________ et soutient que les raisons de l’échec de sa réinsertion auraient dû être prises en considération. Selon la jurisprudence, les organes d’observation professionnelle ont pour fonction de compléter les données médicales en examinant concrètement dans quelle mesure l’assuré est à même de mettre en valeur une capacité de travail et de gain sur le marché du travail. Si les appréciations des médecins l’emportent ainsi sur les constatations qui peuvent être faites à l’occasion d’un stage d’observation professionnelle et qui sont susceptibles d’être influencées par des éléments subjectifs liés au comportement de l’assuré pendant le stage (TF 9C_83/2013 du 9 juillet 2013 consid. 4.2), lorsque les appréciations (d’observation professionnelle et médicale) divergent sensiblement, il</w:t>
      </w:r>
    </w:p>
    <w:p>
      <w:r>
        <w:t>- 15 - incombe toutefois à l’administration, respectivement au juge – conformément au principe de la libre appréciation des preuves – de confronter les deux évaluations et, au besoin, de requérir un complément d’instruction (TF 9C_136/2014 du 24 juin 2014 consid. 3.3 et les arrêts cités). Or si, lorsqu’il a rendu son projet de décision, l’OAI ignorait l’existence des stages précités, on ne peut d’emblée considérer, à plus forte raison en présence de rapports médicaux contradictoires, que les observations faites par Fondation A.________ dans le cadre du chômage ne doivent pas être versées au dossier. Ce seul élément ne serait toutefois pas à lui seul déterminant, si l’on ne se trouvait pas en présence d’un revirement de position du Dr X.________ : ce dernier a en effet fait état dans son rapport du 8 novembre 2017 d’une incapacité de travail à 100% de durée indéterminée, et ce même dans une activité adaptée, et a préconisé une « réévaluation rapide de la situation » par le médecin traitant. Certes, cet avis du Dr X.________ n’est pas motivé. Il n’en demeure pas moins que l’avis de ce même spécialiste du 3 février 2017 sur lequel se fonde l’intimé pour retenir une capacité de travail entière dans une activité adaptée n’est guère plus motivé. En pareilles circonstances, l’office intimé ne pouvait pas se contenter de renvoyer sans autre au premier rapport du Dr X.________, sans compléter l’instruction du cas, notamment en interpellant ce dernier sur les raisons l’ayant conduit à revoir son appréciation de la situation du recourant. A cela s’ajoute que le Dr X.________ s’est concentré sur le rachis, sans prendre position sur les problèmes allégués au niveau du talon, dont fait en particulier état la Dre T.________ dans son rapport du 14 novembre 2017. Cette problématique doit également être élucidée, de sorte qu’il conviendra aussi d’interpeller la Dre T.________ à ce propos, ainsi que le Dr Q.________, apparemment consulté (cf. rapport du Dr X.________ du 11 octobre 2016 adressé au médecin conseil de la U.________). Le juge cantonal qui estime que les faits ne sont pas suffisamment élucidés a en principe le choix entre deux solutions : soit renvoyer la cause à l’assureur pour complément d’instruction, soit</w:t>
      </w:r>
    </w:p>
    <w:p>
      <w:r>
        <w:t>- 16 -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l’occurrence, l’instruction du cas doit être complétée, en premier lieu par une ré-interpellation du Dr X.________, de la Dre T.________ et du Dr Q.________, ainsi que de tout autre spécialiste consulté par l’assuré pour l’atteinte au talon. Une fois les informations recueillies auprès des médecins précités, l’OAI mettra en œuvre un examen de l’assuré par un spécialiste en chirurgie orthopédique et traumatologie de l’appareil locomoteur, lequel pourra être organisé auprès du SMR, respectivement auprès d’un expert à désigner par l’OAI. 6. Vu le sort du recours, il est prématuré de se prononcer sur le degré d’invalidité et le droit à la rente pour la période encore litigieuse, au-delà du 30 avril 2017. 7. a) En définitive, le recours doit être admis et la décision attaquée, annulée, étant rappelé que le droit à la rente pour la période – non contestée – du 1er décembre 2016 au 30 avril 2017 n’est pas remis en question. La cause doit ainsi être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w:t>
      </w:r>
    </w:p>
    <w:p>
      <w:r>
        <w:t>- 17 - les frais judiciaires à 400 fr. et de les mettre à charge de l’intimé,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BLV 173.36.5.1]). En l’espèce, les dépens sont arrêtés à 1'500 fr., TVA comprise, à la charge de l’intimé qui succombe (art. 55 al. 2 et 56 al. 2 LPA-VD).</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