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ZD18.018880 vom 15. Mai 2020</w:t>
      </w:r>
    </w:p>
    <w:p>
      <w:r>
        <w:t>VD Tribunal cantonal, 2020-05-15, FR</w:t>
      </w:r>
    </w:p>
    <w:p>
      <w:r>
        <w:rPr>
          <w:b/>
        </w:rPr>
        <w:t xml:space="preserve">Quelle: </w:t>
      </w:r>
      <w:r>
        <w:t>https://mcp.opencaselaw.ch/entscheid/vd_gerichte_ZD18.018880</w:t>
      </w:r>
    </w:p>
    <w:p>
      <w:r>
        <w:t>FR: VD_GERICHTE ZD18.018880 du 15 mai 2020</w:t>
      </w:r>
    </w:p>
    <w:p>
      <w:r>
        <w:t>IT: VD_GERICHTE ZD18.018880 del 15 maggio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- 17 - b) En l’occurrence, déposé en temps utile, compte tenu des féries pascales (cf. art. 38 al. 4 let. a LPGA),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l’allocation pour impotent allouée à la recourante, singulièrement sur la question de savoir si elle peut bénéficier d’une indemnité pour impotent de degré grave en lieu et place d’une allocation pour impotent de degré faible.</w:t>
      </w:r>
    </w:p>
    <w:p>
      <w:r>
        <w:rPr>
          <w:b/>
        </w:rPr>
        <w:t>E. 3</w:t>
      </w:r>
    </w:p>
    <w:p>
      <w:r>
        <w:t>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b/aa) L’art. 37 al. 1 RAI (règlement du 17 janvier 1961 sur l’assurance-invalidité ; RS 831.201) prévoit que l’impotence est grave lorsque l’assuré est entièrement impotent. Tel est le cas s’il a besoin d’une aide régulière et importante d’autrui pour tous les actes ordinaires de la</w:t>
      </w:r>
    </w:p>
    <w:p>
      <w:r>
        <w:t>- 18 - vie et que son état nécessite, en outre, des soins permanents ou une surveillance personnelle. bb)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c) Selon une jurisprudence constante (ATF 127 V 94 consid. 3c ; 125 V 297 consid. 4a et les références citées), ainsi que selon les chiffres 8010 et suivants de la Circulaire sur l’invalidité et l’impotence dans l’assurance-invalidité (CIIAI),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w:t>
      </w:r>
    </w:p>
    <w:p>
      <w:r>
        <w:t>- 19 -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d)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e)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w:t>
      </w:r>
    </w:p>
    <w:p>
      <w:r>
        <w:t>- 20 - être fournie sous forme d’une aide directe ou indirecte à des personnes atteintes dans leur santé physique, psychique ou mentale (ATF 133 V 450 ; TF 9C_432/2012 et 441/2012 du 31 août 2012 consid. 5.3.1 ; TF 9C_907/2011 du 21 mai 2012 consid. 2 et les références citées).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1er juin 2015 consid. 3.6 et les références citées). f)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w:t>
      </w:r>
    </w:p>
    <w:p>
      <w:r>
        <w:rPr>
          <w:b/>
        </w:rPr>
        <w:t>E. 4</w:t>
      </w:r>
    </w:p>
    <w:p>
      <w:r>
        <w:t>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w:t>
      </w:r>
    </w:p>
    <w:p>
      <w:r>
        <w:t>- 21 -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rPr>
          <w:b/>
        </w:rPr>
        <w:t>E. 5</w:t>
      </w:r>
    </w:p>
    <w:p>
      <w:r>
        <w:t>En l’espèce, l’intimé a octroyé à la recourante une allocation d’impotence de degré faible en raison d’un besoin d’accompagnement et de surveillance personnelle. Dans son recours, cette dernière conclut à l’octroi d’une allocation d’impotence de degré grave au motif qu’elle nécessiterait de l’aide pour tous les actes ordinaires de la vie. a) On rappellera que la recourante est au bénéfice d’une rente entière d’invalidité, basée sur un taux d’invalidité de 100%, depuis le 1er avril 2014, suite à l’expertise effectuée par le Centre X.________, dont le rapport du 1er avril 2016 retenait les diagnostics incapacitants de trouble mixte de la personnalité avec traits de la personnalité émotionnellement labile de type borderline, dépendante et anxieuse (évitante) (F61.0) depuis l’adolescence, d’agoraphobie avec trouble panique (F40.01), de malaises vagaux avec perte de connaissance et convulsions et de status après fracture comminutive de la tête du cinquième métacarpien le 22 février 2016. La recourante présente également d’autres diagnostics non incapacitants d’obésité morbide, céphalées de tension, syndrome douloureux somatoforme persistant/fibromyalgie et de syndrome douloureux fémoro-patellaire sur hyperpression externe avec genu velga. L’instruction conduite à la suite de la demande d’allocation pour impotent déposée le 28 novembre 2016 a mis en avant les éléments</w:t>
      </w:r>
    </w:p>
    <w:p>
      <w:r>
        <w:t>- 22 - suivants. Selon le Dr J.________, psychiatre, la recourante n’avait besoin d’aucune aide pour accomplir les actes ordinaires de la vie (cf. rapport médical du 14 décembre 2016). De son côté, le Dr W.________, spécialiste en médecine interne, a, dans son rapport médical du 6 février 2017, confirmé la nécessité des aides en raison des limitations physiques. Enfin, dans son rapport du 16 août 2017, l’enquêtrice ayant conduit l’enquête sur l’impotence à domicile, a retenu qu’une aide apparaissait nécessaire pour tous les actes ordinaires de la vie, en mentionnant cependant que « les [limitations fonctionnelles] somatiques paraiss[ai]ent incohérentes par rapport à une vie de mère de famille avec 2 enfants en bas âge et 2 bébés à venir » [et qu’il] serait pertinent de passer le dossier au SMR avant de rendre la décision afin de valider les [limitations fonctionnelles] physiques ». b) Dans son avis médical du 28 septembre 2017, les médecins du SMR invalident le besoin d’aide pour les différents actes ordinaires de la vie. Selon eux, les plaintes physiques de la recourante sont en lien avec une fibromyalgie non incapacitante et ce sont, en réalité, les comorbidités psychiques qui justifient un besoin d’accompagnement. Aucun élément au dossier ne permet de contredire cette conclusion. En effet, lors de l’expertise, les experts n’ont pas retrouvé de limitations objectives des amplitudes articulaires ni de déficit moteur ni même de troubles cognitifs, relevant au contraire que « l’assurée se lève facilement, se déplace lentement, pendant les 90 minutes de l’entretien elle reste assise sans demander à changer de position, l’habillage et le déshabillage s’effectuent debout sans stratégie antalgique, la mobilité rachidienne est complète sans douleurs (…). Les investigations en imagerie (2013) ne montrent aucune lésion anatomique expliquant les multiples plaintes (…) ». Il ne figure pas non plus au dossier d’éléments propres à démontrer que les diagnostics et limitations fonctionnelles relevées par le Dr W.________ ne sont pas une interprétation de la même situation que les experts associent à une fibromyalgie non incapacitante. On relèvera en outre que selon ce praticien, le besoin d’aide serait présent depuis 2015, soit antérieurement à l’expertise, et qu’il ne</w:t>
      </w:r>
    </w:p>
    <w:p>
      <w:r>
        <w:t>- 23 - rapporte aucune aggravation. En d’autres termes, lors de l’expertise du Centre X.________, la recourante déclarait déjà des limitations somatiques significatives que le status minutieux, notamment par l’expert rhumatologue, n’avait aucunement permis d’objectiver. Si le Dr W.________ indique que la recourante ne peut utiliser son côté droit, il ne précise toutefois ni diagnostic ni atteinte responsable de cet état, pas plus qu’il n’étaye ces « blocages » par un status. De plus, ces atteintes justifieraient selon ce médecin une aide dans tous les actes ordinaires de la vie de manière permanente alors que lui-même atteste que le besoin d’aide dépend des crises douloureuses. Il convient dès lors de conclure que sur le plan somatique, il n’existe pas un besoin d’aide avéré pour l’ensemble des actes ordinaires de la vie. Admettant cela, la recourante fait alors valoir un besoin d’aide indirecte motivé par ses atteintes psychiatriques. Elle n’apporte toutefois aucun argument médical d’ordre psychique justifiant un tel besoin d’aide, comme le relève à juste titre le SMR dans son avis du 5 décembre 2017, selon lequel l’intéressée valide son besoin d’aide pour les six actes ordinaires de la vie, en raison de ses multiples douleurs attribuées à la fibromyalgie non incapacitante et non de son atteinte psychiatrique. Comme cela ressort de l’expertise du Centre X.________ sont invalidants les troubles psychiatriques, ainsi que les malaises avec pertes de connaissances qui, malgré leur origine fonctionnelle et, donc, sans substrat organique, empêchent à l’heure actuelle l’exercice régulier de quelconque activité lucrative. Ces mêmes limitations fonctionnelles ont été retenues pour déterminer l’allocation pour impotent. Ainsi que l’a retenu le Dr J.________, les troubles psychiques dont souffre la recourante ne l’empêchent pas, en tant que tels, d’effectuer les actes ordinaires de la vie, mais justifient un besoin d’accompagnement et une surveillance personnelle depuis le mois de novembre 2015.</w:t>
      </w:r>
    </w:p>
    <w:p>
      <w:r>
        <w:t>- 24 - c) Force est dès lors de constater que la décision rendue par l’OAI le 19 mars 2018 ne prête pas flanc à la critique. d) A la production actualisée du dossier AI, on constate effectivement que l’amélioration de l’état de santé de la recourante est postérieure à la décision litigieuse, de sorte qu’il convient de ne pas en tenir compte.</w:t>
      </w:r>
    </w:p>
    <w:p>
      <w:r>
        <w:rPr>
          <w:b/>
        </w:rPr>
        <w:t>E. 6</w:t>
      </w:r>
    </w:p>
    <w:p>
      <w:r>
        <w:t>a) En définitive, le recours, mal fondé, doit être rejeté et la décision querellée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Toutefois, dès lors qu’elle a obtenu, au titre de l’assistance judiciaire, l’exonération d’avances et des frais de justice, ces frais sont laissés provisoirement à la charge de l’Etat. La recourante est rendue attentive au fait qu’elle est tenue d’en rembourser le montant, dès qu’elle sera en mesure de le faire (art. 122 al. 1 let. b et 123 CPC [code fédéral de procédure civile du 19 décembre 2008 ; RS 272], applicable par renvoi de l’art. 18 al. 5 LPA-VD). Il n’y a par ailleurs pas lieu d’allouer de dépens, la recourante n’obtenant pas gain de cause (art. 61 let. g LPGA). c) Par décision de la juge instructeur du 7 mai 2018, la recourante a été mise au bénéfice de l’assistance judiciaire avec effet au</w:t>
      </w:r>
    </w:p>
    <w:p>
      <w:r>
        <w:rPr>
          <w:b/>
        </w:rPr>
        <w:t>E. 11</w:t>
      </w:r>
    </w:p>
    <w:p>
      <w:r>
        <w:t>avril 2018 et a obtenu à ce titre la commission d’un avocat d’office en la personne de Me Florence Bourqui.</w:t>
      </w:r>
    </w:p>
    <w:p>
      <w:r>
        <w:t>- 25 - Par courrier du 1er mai 2020, cette dernière a laissé à l’appréciation du tribunal le montant de l’indemnité qui pourrait lui être allouée dans le présent litige, qu’il convient dès lors d’arrêter à 1'500 fr., débours et TVA compris. La rémunération de l’avocat d’office est provisoirement supportée par le canton, la recourante étant rendue attentive au fait qu’elle est tenue d’en rembourser le montant dès qu’elle sera en mesure de le faire (art. 123 al. 1 CPC, applicable par renvoi de l’art. 18 al. 5 LPA- VD). Il incombe au Service juridique et législatif de fixer les modalités de remboursement (art. 5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