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ZD18.017158 vom 5. September 2019</w:t>
      </w:r>
    </w:p>
    <w:p>
      <w:r>
        <w:t>VD Tribunal cantonal, 2019-09-05, FR</w:t>
      </w:r>
    </w:p>
    <w:p>
      <w:r>
        <w:rPr>
          <w:b/>
        </w:rPr>
        <w:t xml:space="preserve">Quelle: </w:t>
      </w:r>
      <w:r>
        <w:t>https://mcp.opencaselaw.ch/entscheid/vd_gerichte_ZD18.017158</w:t>
      </w:r>
    </w:p>
    <w:p>
      <w:r>
        <w:t>FR: VD_GERICHTE ZD18.017158 du 5 septembre 2019</w:t>
      </w:r>
    </w:p>
    <w:p>
      <w:r>
        <w:t>IT: VD_GERICHTE ZD18.017158 del 5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mesures médicales de l'assurance-invalidité, plus particulièrement sur la prise en charge par l'intimé des frais de langes.</w:t>
      </w:r>
    </w:p>
    <w:p>
      <w:r>
        <w:rPr>
          <w:b/>
        </w:rPr>
        <w:t>E. 3</w:t>
      </w:r>
    </w:p>
    <w:p>
      <w:r>
        <w:t>a) A teneur de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et qui figurent dans la liste annexée à l’OIC (art. 1 al. 2, première phrase, OIC). En prenant en charge le traitement des</w:t>
      </w:r>
    </w:p>
    <w:p>
      <w:r>
        <w:t>- 9 - infirmités congénitales des assurés âgés de moins de 20 ans révolus, l’assurance-invalidité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b) L'assurance-invalidité ne peut pas prendre en charge les infirmités congénitales sur la base de la seule définition de l'art. 3 LPGA et de l'art. 1 al. 1, première phrase, OIC. Son intervention exige au surplus qu'il s'agisse d'une infirmité congénitale qui figure dans la liste de l'annexe à l'OIC établie par le Conseil fédéral (art. 13 al. 2, première phrase, LAI). Une fois qu'elle est établie, la liste des infirmités congénitales est exhaustive et elle ne peut pas être étendue par le juge sous réserve de son pouvoir de contrôler sa légalité et constitutionnalité. Cette réserve mise à part, le caractère exhaustif de la liste signifie que les troubles de l'assuré ne sont pris en charge par l'assurance-invalidité que si, considérés isolément, ils correspondent à l'une ou l'autre des infirmités congénitales énumérées dans la liste de l'annexe à l'OIC. Cela ne sera pas le cas pour des pathologies entraînant des symptômes multiples, comme par exemple le syndrome de Down, de Rubinstein-Taybi, de Simpson-Golabi-Behmel qui ne peuvent pas être traités directement dans leur ensemble, de sorte qu'ils ne sont pas susceptibles de figurer comme tels dans la liste (Michel Valterio, Commentaire de la loi fédérale sur l'assurance-invalidité (LAI), Genève/Zurich/Bâle 2018, n. 8 à 10 ad art. 13 LAI). Selon la jurisprudence, la liste de l’annexe de l’OIC se fonde sur un critère fonctionnel.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w:t>
      </w:r>
    </w:p>
    <w:p>
      <w:r>
        <w:t>- 10 -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11 ad art. 13 LAI).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w:t>
      </w:r>
    </w:p>
    <w:p>
      <w:r>
        <w:rPr>
          <w:b/>
        </w:rPr>
        <w:t>E. 4</w:t>
      </w:r>
    </w:p>
    <w:p>
      <w:r>
        <w:t>Le recourant présente une anomalie génétique (mutation en région chromosomique 15q11.2) connue sous le nom de syndrome de</w:t>
      </w:r>
    </w:p>
    <w:p>
      <w:r>
        <w:t>- 11 - duplication 15q11.2. Cette anomalie chromosomique cause de multiples atteintes, à savoir notamment un retard global de développement avec déficit intellectuel, une épilepsie et des troubles moteurs. Le syndrome de duplication 15q11.2 ne figure pas dans la liste annexée à l'OIC. Une prise en charge globale de toutes les conséquences de cette anomalie chromosomique n'est dès lors pas envisageable sous l'angle de l'art. 13 LAI (cf. consid. 3b supra). En revanche, certains des symptômes associés à ce syndrome sont répertoriés sur cette liste. Tel est le cas de l’épilepsie, correspondant au chiffre 387 de l’annexe à l’OIC et dont le traitement est en l’occurrence pris en charge par l’OAI depuis que l’atteinte a été diagnostiquée. L’OAI a également reconnu, sur avis du SMR et ensuite de l’arrêt rendu le 15 mai 2017 par la Cour de céans (AI 158/16 – 144/2017), l'existence d'une affection congénitale répondant aux critères du chiffre 395 OIC, soit un léger trouble moteur cérébral, permettant de prendre en charge les mesures nécessaires sur le plan moteur jusqu'à l'accomplissement de la deuxième année de vie de l'assuré. Depuis 2017, les troubles moteurs de type ataxique que présente l’assuré sont pris en charge sous couvert du chiffre OIC 390 (avis SMR du 24 octobre 2017).</w:t>
      </w:r>
    </w:p>
    <w:p>
      <w:r>
        <w:rPr>
          <w:b/>
        </w:rPr>
        <w:t>E. 5</w:t>
      </w:r>
    </w:p>
    <w:p>
      <w:r>
        <w:t>Le recourant considère que l’incontinence, qui constitue l’un des symptômes du syndrome de duplication 15q11.2, est à charge de l’OAI, singulièrement que les frais de lange qui découlent de cette atteinte doivent être pris en charge au titre de mesures médicales, sous couvert du chiffre 390 OIC. L'intimé expose pour sa part que l'atteinte motrice ataxique dont souffre l'assuré et qui justifie une prise en charge en regard du chiffre 390, n'implique pas nécessairement un trouble sphinctérien. L'origine de ce trouble serait plutôt en lien avec le retard de développement que présente également l'assuré, et pour lequel l’OIC ne prévoit pas de prise en charge spécifique. Le recourant se fonde en particulier sur le rapport du 15 janvier 2018 établi par le Dr M.________. Selon ce médecin, l'assuré présente une paralysie cérébrale de type ataxique et il est impossible d'isoler l'ataxie (soit les troubles moteurs) comme seule composante de la</w:t>
      </w:r>
    </w:p>
    <w:p>
      <w:r>
        <w:t>- 12 - paralysie cérébrale, et d'affirmer que le retard de développement est une problématique séparée. Il est par conséquent d'avis que l'incontinence de R.________ est en lien direct avec sa problématique médicale générale, la paralysie cérébrale, qu'elle qu'en soit sa cause. L'avis du Dr M.________ ne peut cependant être suivi. En effet, si sur le plan médical, il est important de considérer la symptomatologie comme faisant partie d'un tout, en lien avec le diagnostic de syndrome 15q11.2, il n'en demeure pas moins qu'au plan assécurologique, les différentes atteintes découlant d'une infirmité congénitale non reconnue par l'OIC (en l’occurrence le syndrome 15q11.2) doivent être analysées séparément (cf. consid. 3b supra; avis SMR du 30 octobre 2018). Le SMR a accordé le chiffre 390 OIC en raison de l’atteinte motrice de type ataxique que présente l’assuré. Selon le chiffre 390.1.2 CMRM, les troubles moteurs ataxiques concernent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dysdiadochocinésie et/ou un phénomène de rebond positif. Pour la motricité corporelle, le trouble ataxique est défini par l’ataxie tronculaire. La Dre J.________ a estimé qu’au regard des seuls troubles ataxiques que présente l’assuré, qu’elle décrit par ailleurs comme légers (marche à polygone élargi, dysmétrie des mains, nystagmus dans le regard latéral), la présence d’une énurésie n’est pas vraisemblable. Elle rappelle dans ce contexte que le chiffre 390 OIC n’a pas été retenu dans le sens d’une paralysie cérébrale au sens large, qui peut comprendre des troubles moteurs congénitaux de type spastique, ataxique et/ou dyskinétique, mais en raison du seul trouble moteur de type ataxique dont</w:t>
      </w:r>
    </w:p>
    <w:p>
      <w:r>
        <w:t>- 13 - l’assuré souffre dans le cadre de son syndrome. L’avis du Dr M.________ ne vient pas contredire ce diagnostic puisqu’il évoque une paralysie cérébrale d’origine génétique de type ataxique. La Dre J.________ expose également que la doctrine médicale évoquée par le Dr M.________ vaut pour les paralysies cérébrales en tant qu’atteintes périnatales du cerveau de type non-progressif, cas de figure dans lequel l’assuré ne se trouve en l’occurrence pas. Dans ce contexte, il s’avère que les explications du SMR selon lequel l’énurésie que présente l’assuré n’est pas en lien avec les troubles moteurs mais plus vraisemblablement avec le retard de développement qu’il présente aussi, sont suffisamment bien étayées pour être suivies.</w:t>
      </w:r>
    </w:p>
    <w:p>
      <w:r>
        <w:rPr>
          <w:b/>
        </w:rPr>
        <w:t>E. 6</w:t>
      </w:r>
    </w:p>
    <w:p>
      <w:r>
        <w:t>En conséquence, le recours doit être rejeté, ce qui entraîne la confirmation de la décision attaquée.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w:t>
      </w:r>
    </w:p>
    <w:p>
      <w:r>
        <w:t>- 14 -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Karim Hichri (art. 118 al. 1 let. c CPC, applicable par renvoi de l'art. 18 al. 5 LPA-VD). Ce dernier ayant renoncé à déposer la liste de ses opérations, la Cour de céans statue en équité et fixe l’indemnité d’office à 1'500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