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ZD18.016395 vom 24. Juni 2019</w:t>
      </w:r>
    </w:p>
    <w:p>
      <w:r>
        <w:t>VD Tribunal cantonal, 2019-06-24, FR</w:t>
      </w:r>
    </w:p>
    <w:p>
      <w:r>
        <w:rPr>
          <w:b/>
        </w:rPr>
        <w:t xml:space="preserve">Quelle: </w:t>
      </w:r>
      <w:r>
        <w:t>https://mcp.opencaselaw.ch/entscheid/vd_gerichte_ZD18.016395</w:t>
      </w:r>
    </w:p>
    <w:p>
      <w:r>
        <w:t>FR: VD_GERICHTE ZD18.016395 du 24 juin 2019</w:t>
      </w:r>
    </w:p>
    <w:p>
      <w:r>
        <w:t>IT: VD_GERICHTE ZD18.016395 del 24 giugno 2019</w:t>
      </w:r>
    </w:p>
    <w:p>
      <w:pPr>
        <w:pStyle w:val="Heading2"/>
      </w:pPr>
      <w:r>
        <w:t>Erwägungen</w:t>
      </w:r>
    </w:p>
    <w:p>
      <w:r>
        <w:rPr>
          <w:b/>
        </w:rPr>
        <w:t>E. 6</w:t>
      </w:r>
    </w:p>
    <w:p>
      <w:r>
        <w:t>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(ATF 141 V 281 consid. 2.2.1 ; TF 9C_16/2016 du 14 juin 2016 consid. 3.2).</w:t>
      </w:r>
    </w:p>
    <w:p>
      <w:r>
        <w:rPr>
          <w:b/>
        </w:rPr>
        <w:t>E. 7</w:t>
      </w:r>
    </w:p>
    <w:p>
      <w:r>
        <w:t>a)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ATF 122 II 469 consid. 4a; 122 III 223 consid. 3c). Une telle manière de procéder ne viole pas, en tant que telle, les garanties de procédure (ATF 130 II 425 consid. 2.1; 122 II 464 consid. 4a; 119 V 335 consid. 3c; TF 9C_382/2008 du 22 juillet 2008 consid. 3 et les références). b) La recourante conclut à l’établissement d’une expertise pluridisciplinaire. En l’occurrence, on constate que le dossier est complet. La problématique psychique a fait l’objet de plusieurs rapports émanant de différents médecins, en particulier une expertise dont la valeur est probante. Concernant le volet somatique, la situation médicale est claire, le Dr A.________ dans son rapport du 7 octobre 2015 constate notamment que le diabète de la recourante n’induit pas de limitations fonctionnelles, outre le fait d’éviter des activités nécessitant un degré de concentration élevé et comprenant des risques de mise en danger de soi ou d’autrui en cas de malaise. Aucune pièce au dossier ne permet de douter de ces conclusions. Au vu de ce qui précède, il n’existe aucun motif d’ordonner une expertise pluridisciplinaire.</w:t>
      </w:r>
    </w:p>
    <w:p>
      <w:r>
        <w:rPr>
          <w:b/>
        </w:rPr>
        <w:t>E. 8</w:t>
      </w:r>
    </w:p>
    <w:p>
      <w:r>
        <w:t>a) En définitive, le recours, mal fondé, doit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w:t>
      </w:r>
    </w:p>
    <w:p>
      <w:r>
        <w:t>- 23 -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par ailleurs pas lieu d’allouer de dépens, la recourante n’obtenant pas gain de cause (art. 61 let. g LPGA). d) Par décision du juge instructeur du 19 avril 2018, le recourant a été mis au bénéfice de l’assistance judiciaire avec effet au 18 avril 2018 et a obtenu à ce titre la commission d’un avocat d’office en la personne de Me Olivier Carré. Ce dernier a produit sa liste des opérations le 18 février 2019, qui comprend notamment des débours. Il convient toutefois sur ce dernier point d’appliquer le forfait de 5 % du défraiement hors taxe (art. 3bis al. 1 RAJ [règlement cantonal du 7 décembre 2010 sur l’assistance judiciaire en matière civile ; BLV 211.02.3]). Au final, le montant de l’indemnité de Me Carré est arrêté à 2'171 fr. 90 concernant ses honoraires (correspondant à 12.066 heures x 180 fr.), auquel s’ajoute un montant forfaitaire de 108 fr. 60 concernant les débours ainsi que 175 fr. 60 de TVA, soit un total de 2'456 fr. 10.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