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ZD18.013052 vom 9. August 2018</w:t>
      </w:r>
    </w:p>
    <w:p>
      <w:r>
        <w:t>VD Tribunal cantonal, 2018-08-09, FR</w:t>
      </w:r>
    </w:p>
    <w:p>
      <w:r>
        <w:rPr>
          <w:b/>
        </w:rPr>
        <w:t xml:space="preserve">Quelle: </w:t>
      </w:r>
      <w:r>
        <w:t>https://mcp.opencaselaw.ch/entscheid/vd_gerichte_ZD18.013052</w:t>
      </w:r>
    </w:p>
    <w:p>
      <w:r>
        <w:t>FR: VD_GERICHTE ZD18.013052 du 9 août 2018</w:t>
      </w:r>
    </w:p>
    <w:p>
      <w:r>
        <w:t>IT: VD_GERICHTE ZD18.013052 del 9 agosto 2018</w:t>
      </w:r>
    </w:p>
    <w:p>
      <w:pPr>
        <w:pStyle w:val="Heading2"/>
      </w:pPr>
      <w:r>
        <w:t>Erwägungen</w:t>
      </w:r>
    </w:p>
    <w:p>
      <w:r>
        <w:rPr>
          <w:b/>
        </w:rPr>
        <w:t>E. 4</w:t>
      </w:r>
    </w:p>
    <w:p>
      <w:r>
        <w:t>Dans des griefs de nature formelle qu’il convient d’examiner en premier lieu, la recourante se plaint d’une part de s’être vu adresser un dossier incomplet de l’OAI et déplore d’autre part le caractère très succinct de la décision attaquée, estimant que l’intimé ne pouvait pas se contenter d’une motivation aussi brève compte tenu des arguments qu’elle a soulevés. Elle déplore en outre le caractère incomplet de l’instruction menée par l’intimé. a) Le droit d’être entendu, tel qu’il est garanti par l’art. 29 al. 2 Cst. (Constitution fédérale de la Confédération suisse du 18 avril 1999 ;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w:t>
      </w:r>
    </w:p>
    <w:p>
      <w:r>
        <w:t>- 26 -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La jurisprudence a déduit du droit d’être entendu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126 I 15 consid. 2a/aa ; TF 9C_193/2013 du 22 juillet 2013 consid. 3.1.1). L’autorité administrative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Le droit d’être entendu est une garantie constitutionnelle de caractère formel, dont la violation doit entraîner l’annulation de la décision attaquée, indépendamment des chances de succès du recourant sur le fond (ATF 132 V 387 consid. 5.1 ; 127 V 431 consid. 3d/aa). Pour autant qu’elle ne soit pas d’une gravité particulière, la violation du droit d’être</w:t>
      </w:r>
    </w:p>
    <w:p>
      <w:r>
        <w:t>- 27 - entendu est réparée lorsque la partie lésée a la possibilité de s’exprimer devant une autorité de recours jouissant d’un plein pouvoir d’examen (ATF 132 V 387 consid. 5.1 et les références citées). b) En l’occurrence, la motivation de la décision litigieuse est suffisamment étayée pour permettre la compréhension des éléments ayant conduit l’OAI à maintenir le droit à la rente de l’assuré. Au vu de la teneur du recours, il y a en outre lieu de constater que la recourante a été en mesure de saisir les fondements essentiels de la décision attaquée. Quoi qu’il en soit, même à admettre une éventuelle violation, celle-ci devrait être considérée comme guérie devant la juridiction de céans, la recourante comme l’intimé – et l’assuré – ayant eu l’occasion de faire valoir leurs points de vue respectifs au cours de la présente procédure judiciaire, ouverte devant une instance jouissant d’un plein pouvoir d’examen pour statuer. En conséquence, l’argument tiré d’un défaut de motivation, et donc d’une violation du droit d’être entendu, doit être écarté. Quant au fait que la recourante ne se serait pas vu remettre un dossier complet, on relèvera en premier lieu que dès qu’elle l’a signalé à l’OAI, ce dernier lui a immédiatement fait parvenir le rapport du 6 décembre 2017. Pour le surplus, la recourante a été avertie dans le cadre de la présente procédure, par courrier du greffe du 23 mai 2018 faisant suite au dépôt de la réponse de l’OAI, qu’il lui était loisible de prendre connaissance du dossier de l’intimé au greffe de la Cour des assurances sociales. Ainsi, à supposer qu’une pièce autre que le rapport du</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II 425 consid. 2.1 ; 122 II 464 consid. 4a ; 122 III 219 consid. 3c ; 120 Ib 224 consid. 2b). En l’occurrence, le dossier est complet et permet à la Cour de céans de statuer, de sorte qu’il n’y a pas lieu de donner suite à la requête d’expertise pluridisciplinaire de la recourante.</w:t>
      </w:r>
    </w:p>
    <w:p>
      <w:r>
        <w:rPr>
          <w:b/>
        </w:rPr>
        <w:t>E. 7</w:t>
      </w:r>
    </w:p>
    <w:p>
      <w:r>
        <w:t>a) Il suit de là que,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la recourante qui succombe. Il n’y a pas lieu d’allouer de dépens à la recourante qui succombe (61 let. g LPGA et art. 55 al. 1 LPA-VD), ni à l’intimé qui n’y a</w:t>
      </w:r>
    </w:p>
    <w:p>
      <w:r>
        <w:t>- 31 - pas droit comme assureur social (ATF 128 V 323). Quant à l’assuré, intéressé à la procédure qui obtient gain de cause avec l’assistance d’un mandataire, il a droit à des dépens (cf. art. 61 let. g LPGA). Le montant doit être déterminé, sans égard à la valeur litigieuse, d’après l’importance et la complexité du litige (art. 61 let. g LPGA ; également art. 10 et 11 TFJDA [tarif du 28 avril 2015 des frais judiciaires et des dépens en matière administrative ; RSV 173.36.5.1]). En l’espèce, il y a lieu d’arrêter le montant des dépens à 1’000 fr. à la charge de la recourante, qui succombe (art. 55 al. 2 LPA-VD).</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