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ZD18.012229 vom 13. Dezember 2018</w:t>
      </w:r>
    </w:p>
    <w:p>
      <w:r>
        <w:t>VD Tribunal cantonal, 2018-12-13, FR</w:t>
      </w:r>
    </w:p>
    <w:p>
      <w:r>
        <w:rPr>
          <w:b/>
        </w:rPr>
        <w:t xml:space="preserve">Quelle: </w:t>
      </w:r>
      <w:r>
        <w:t>https://mcp.opencaselaw.ch/entscheid/vd_gerichte_ZD18.012229</w:t>
      </w:r>
    </w:p>
    <w:p>
      <w:r>
        <w:t>FR: VD_GERICHTE ZD18.012229 du 13 décembre 2018</w:t>
      </w:r>
    </w:p>
    <w:p>
      <w:r>
        <w:t>IT: VD_GERICHTE ZD18.012229 del 13 dicembre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auprès du tribunal compétent (art. 93 let. a LPA-VD [loi cantonale vaudoise du 28 octobre 2008 sur la procédure administrative ; RSV 173.36]). Compte tenu de sa régularisation en date du 27 mars 2018, il respecte en outre les autres conditions formelles prévues par la loi (art. 61 let. b LPGA notamment), de sorte qu’il est recevable.</w:t>
      </w:r>
    </w:p>
    <w:p>
      <w:r>
        <w:rPr>
          <w:b/>
        </w:rPr>
        <w:t>E. 2</w:t>
      </w:r>
    </w:p>
    <w:p>
      <w:r>
        <w:t>Le litige porte sur le refus de l’intimé d’entrer en matière sur la nouvelle demande de prestations présentée par le recourant le 16 novembre 2017, singulièrement sur la question de savoir si ce dernier a rendu plausible, devant l’OAI, une modification significative de l’état de fait qui justifierait un nouvel examen de son cas depuis la dernière décision statuant sur son droit aux prestations entrée en force.</w:t>
      </w:r>
    </w:p>
    <w:p>
      <w:r>
        <w:t>- 10 -</w:t>
      </w:r>
    </w:p>
    <w:p>
      <w:r>
        <w:rPr>
          <w:b/>
        </w:rPr>
        <w:t>E. 3</w:t>
      </w:r>
    </w:p>
    <w:p>
      <w:r>
        <w:t>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Cette exigence permet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TF 9C_789/2012 du 27 juillet 2013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A cet égard, l'administration se montrera d'autant plus exigeante pour apprécier le caractère plausible des allégations de l'assuré que le laps de temps qui s'est écoulé depuis sa décision antérieure est bref. On précisera encore que le fait que l’office prenne conseil auprès du SMR ne relève pas de la mesure d’instruction médicale et ne signifie pas que l’autorité entre en matière (TF 9C_789/2012 précité consid. 3.2).</w:t>
      </w:r>
    </w:p>
    <w:p>
      <w:r>
        <w:t>- 11 -</w:t>
      </w:r>
    </w:p>
    <w:p>
      <w:r>
        <w:rPr>
          <w:b/>
        </w:rPr>
        <w:t>E. 4</w:t>
      </w:r>
    </w:p>
    <w:p>
      <w:r>
        <w:t>En l’occurrence, la première demande de prestations déposée par le recourant a été rejetée par décision du 25 août 2015, au motif qu’il ne présentait pas d’atteinte invalidante à la santé. Sur le plan somatique, les Drs F.________ et Z.________ avaient conclu à l’existence d’une pleine capacité de travail dans une activité qui ne nécessite pas d’effort physique soutenu ou prolongé, telle que celle de chauffeur de taxi. Au niveau psychique, les Drs M.________, O.________ et Q.________ avaient posé les diagnostics d’épisode dépressif sévère sans symptôme psychotique (F32.2), de trouble somatoforme indifférencié (F45.1) et de difficultés liées à l’entourage familial. Dans son expertise, le Dr G.________ avait finalement conclu à la présence d’une dysthymie, non incapacitante, et réfuté les autres diagnostics posés, de manière motivée et convaincante. Dans leur rapport du 2 février 2018, les Drs X.________ et S.________ font état d’une aggravation de la situation psychique du recourant, sans toutefois préciser en quoi exactement cette aggravation a consisté. Force est de constater que leur rapport est en grande partie similaire à celui établi le 26 mars 2014 par les Drs Q.________ et O.________. Tous deux concluent à la présence d’un syndrome dépressif chronique. L’asthénie, la fatigabilité et les troubles du sommeil constituaient déjà des symptômes dont se plaignait le recourant à l’époque de la première demande de prestations et n’avaient pas été jugés invalidants. Il en va de même de la baisse de la concentration et de la mémoire (cf. également le rapport du Dr A.________ du 2 septembre 2013). Selon les rapports émanant de la V.________, le recourant présentait, déjà en 2013, des idées de mort récurrentes. Lors de l’expertise psychiatrique, le Dr G.________ a tenu compte des éléments précités et a établi son rapport en pleine connaissance du dossier de l’assuré. L’expert a pris en considération les plaintes de l’assuré relatives, notamment, à une fatigabilité depuis plusieurs années, à des vomissements, à des difficultés de concentration ainsi qu’à des angoisses avec une douleur au niveau du thorax. Au final, l’expert a fortement relativisé les plaintes de l’assuré au terme des deux examens cliniques effectués et n’a pas retenu le diagnostic de trouble dépressif, mais uniquement celui de dysthymie, étant donné notamment</w:t>
      </w:r>
    </w:p>
    <w:p>
      <w:r>
        <w:t>- 12 - la perte de confiance en soi, le sentiment d’insuffisance, le pessimisme envers l’avenir et les ruminations sur le passé dont le recourant faisait preuve (cf. rapport d’expertise p. 14-15). Ces éléments, qu’on retrouve dans le rapport des Drs X.________ et S.________ (contenu négatif de la pensée avec une vision négative de soi, du monde extérieur et du futur, sentiment de dévalorisation avec du pessimisme, etc.), ne sont par conséquent pas nouveaux et ont déjà été pris en considération. Comme l’a soulevé le SMR, l’expertise du Dr G.________ a permis d’écarter un éventuel trouble de la personnalité, de sorte qu’il n’est pas possible de conclure ultérieurement à une atteinte de cet ordre puisque celle-ci apparaît à l’adolescence ou au plus tard au début de l’âge adulte. Le diagnostic de trouble de la personnalité anxieuse posé par les médecins du Centre P.________, au demeurant non motivé, n’apparaît donc pas plausible. Il en va de même de celui de dépression mélancolique, que le SMR conteste de manière convaincante dans son avis médical du 17 février 2018. En outre, il faut rappeler qu’un trouble somatoforme indifférencié avait à l’époque été évoqué par les Drs O.________ et Q.________, mais réfuté par l’expert psychiatre. Les Drs S.________ et X.________ mentionnent désormais différents diagnostics d’ordre somatique, telles que des myalgies et manifestations psycho-organiques, qui ne sont toutefois étayés par aucune demande d’examen spécialisé. Cela nuit fortement à la valeur probante de leurs constatations. De même, alors que l’assuré faisait déjà état de fréquents vomissements à l’époque du premier refus de prestations, le Dr G.________ n’avait pas constaté de symptômes indiquant un quelconque trouble alimentaire (rapport d’expertise p. 13). Les Drs S.________ et X.________ mentionnent désormais une anorexie importante liée à un trouble alimentaire, sans faire aucunement état d’une perte de poids ni étayer le diagnostic par d’autres constatations cliniques. Ils ne rendent ainsi pas plausible une péjoration de l’état de santé de l’assuré de ce point de vue.</w:t>
      </w:r>
    </w:p>
    <w:p>
      <w:r>
        <w:t>- 13 - En définitive, rien n’indique que la situation ait notablement changé depuis la précédente décision de l’OAI, d’autant que lors de l’entretien de détection précoce du 20 juin 2017, l’assuré et sa psychiatre traitant ont clairement indiqué à l’OAI que la situation était chronique et stationnaire depuis 2013. L’assuré a précisé qu’il souffrait des mêmes problèmes que par le passé et qu’il n’avait pas voulu, à l’époque, entrer dans les démarches administratives d’un recours. Or, en l’absence de modification plausible de l’état de santé influençant le degré d’invalidité, la procédure de nouvelle demande ne permet pas le réexamen d’une décision de refus de prestations entrée en force. C’est par conséquent à juste titre que l’OAI a refusé d’entrer en matière sur la nouvelle demande de l’assuré.</w:t>
      </w:r>
    </w:p>
    <w:p>
      <w:r>
        <w:rPr>
          <w:b/>
        </w:rPr>
        <w:t>E. 5</w:t>
      </w:r>
    </w:p>
    <w:p>
      <w:r>
        <w:t>a) En définitive, le recours doit être rejeté, ce qui entraîne la confirmation de la décision litigieuse.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