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ZD18.009831 vom 8. August 2018</w:t>
      </w:r>
    </w:p>
    <w:p>
      <w:r>
        <w:t>VD Tribunal cantonal, 2018-08-08, FR</w:t>
      </w:r>
    </w:p>
    <w:p>
      <w:r>
        <w:rPr>
          <w:b/>
        </w:rPr>
        <w:t xml:space="preserve">Quelle: </w:t>
      </w:r>
      <w:r>
        <w:t>https://mcp.opencaselaw.ch/entscheid/vd_gerichte_ZD18.009831</w:t>
      </w:r>
    </w:p>
    <w:p>
      <w:r>
        <w:t>FR: VD_GERICHTE ZD18.009831 du 8 août 2018</w:t>
      </w:r>
    </w:p>
    <w:p>
      <w:r>
        <w:t>IT: VD_GERICHTE ZD18.009831 del 8 agosto 2018</w:t>
      </w:r>
    </w:p>
    <w:p>
      <w:pPr>
        <w:pStyle w:val="Heading2"/>
      </w:pPr>
      <w:r>
        <w:t>Erwägungen</w:t>
      </w:r>
    </w:p>
    <w:p>
      <w:r>
        <w:rPr>
          <w:b/>
        </w:rPr>
        <w:t>E. 4</w:t>
      </w:r>
    </w:p>
    <w:p>
      <w:r>
        <w:t>Quelles sont les limitations fonctionnelles à prendre en compte ? Importants troubles de la marche et fatigabilité à la marche secondaire au steppage.</w:t>
      </w:r>
    </w:p>
    <w:p>
      <w:r>
        <w:rPr>
          <w:b/>
        </w:rPr>
        <w:t>E. 5</w:t>
      </w:r>
    </w:p>
    <w:p>
      <w:r>
        <w:t>Quelle est la capacité de travail dans l’activité habituelle (sur un 100%) ? Depuis quand ?</w:t>
      </w:r>
    </w:p>
    <w:p>
      <w:r>
        <w:t>- 5 - 50 % depuis le : 14.10.2016.</w:t>
      </w:r>
    </w:p>
    <w:p>
      <w:r>
        <w:rPr>
          <w:b/>
        </w:rPr>
        <w:t>E. 6</w:t>
      </w:r>
    </w:p>
    <w:p>
      <w:r>
        <w:t>Quelles est la capacité de travail exigible dans une activité adaptée ? Depuis quand ? 50 % depuis le : 14.10.2016. Si la capacité de travail n’est pas entière, merci de nous en préciser les raisons : Le patient est sans formation. Seuls des travaux pour ouvrier non qualifié sont à sa portée, travaux demandant une bonne santé physique, ce que le patient n’a clairement plus. En outre, il ne peut gravir un échafaudage ou marcher en terrain irrégulier. Il existe un risque de chute important.</w:t>
      </w:r>
    </w:p>
    <w:p>
      <w:r>
        <w:rPr>
          <w:b/>
        </w:rPr>
        <w:t>E. 7</w:t>
      </w:r>
    </w:p>
    <w:p>
      <w:r>
        <w:t>Peut-on s’attendre à une amélioration de la capacité de travail ? Non, en raison de séquelles neurologiques irréversibles au membre inférieur droit.</w:t>
      </w:r>
    </w:p>
    <w:p>
      <w:r>
        <w:rPr>
          <w:b/>
        </w:rPr>
        <w:t>E. 8</w:t>
      </w:r>
    </w:p>
    <w:p>
      <w:r>
        <w:t>Quels sont les dates et les taux précis des incapacités de travail attestées jusqu’ici ? du 14.10.2016 au 31.12.2016 à 100% du 01.01.2017 au indéterminé à 50%. Le Dr N.________ a joint trois rapports de consultations de l’assuré à l’Unité de chirurgie spinale du CHUV. Dans le dernier rapport daté du 27 octobre 2017, les J.________, spécialiste en chirurgie orthopédique et traumatologie de l’appareil locomoteur, et P.________, ont observé ce qui suit : Problèmes et attitude Compte tenu de l’absence de douleurs, de la stabilité des symptômes et de la parésie, nous ne préconisons pas de poursuite du suivi au-delà de 12 mois. La probabilité que la situation au niveau du membre inférieur droit s’améliore est très faible compte tenu du déficit qui persiste à bientôt un an de l’intervention. Le patient est sans emploi depuis de nombreuses années. La vie quotidienne se fait sans trop de difficultés. Nous l’encourageons à maintenir une activité physique, par exemple de la marche, autant que possible. Nous mettons fin au suivi ce jour. Après avoir requis le point de vue du SMR (avis du 30 novembre 2017 du Dr B.________, spécialiste en médecine du travail), l’OAI a, par projet de décision du 7 décembre 2017, informé l’assuré qu’il</w:t>
      </w:r>
    </w:p>
    <w:p>
      <w:r>
        <w:t>- 6 - entendait rejeter sa nouvelle demande de prestations, au motif que la capacité résiduelle de travail dans une activité adaptée à ses limitations fonctionnelles (alternance des positions, pas de soulèvement régulier de charges d’un poids excédant 5 kg, pas de port régulier de charges d’un poids excédant 12 kg, pas de travail en porte-à-faux statique prolongé du tronc, pas de marche en terrain irrégulier et pas de montée et de descente d’échelles et d’escaliers ni sur les échafaudages) était de 50 % dès le 1er juin 2017, puis totale depuis le 1er septembre 2017, de sorte qu’au terme du délai de carence, soit le 14 octobre 2017, l’intéressé disposait d’une pleine capacité de travail. Partant, le préjudice économique demeurait identique (10 %) à celui retenu dans la décision du 31 mai 2006, sans aucune mesure professionnelle susceptible de le réduire. Le 18 décembre 2017, l’assuré a contesté ce projet. Il s’étonnait, face aux restrictions fonctionnelles retenues par l’administration, de ne pas avoir au moins droit à des mesures de réadaptation professionnelle. Dans la mesure où il avait toujours occupé des emplois physiques, il ne s’estimait pas en mesure de retrouver un autre travail sans soutien de la part de l’OAI. Complétant ses observations le 17 janvier 2018, il a précisé être inapte à travailler à 100 %. Après avoir interpellé une nouvelle fois le SMR (avis du 5 février 2018 du Dr B.________), l’OAI a, par décision du 8 février 2018, rejeté la demande de prestations de l’assuré. C. Par recours déposé le 7 mars 2018 devant la Cour des assurances sociales du Tribunal cantonal, I.________ a conclu en substance à l’octroi d’une rente d’invalidité. Il estimait ne pas avoir récupéré une capacité de travail de 100 % depuis l’opération d’octobre 2016, mais bénéficier d’une capacité de travail résiduelle de 50 % au maximum dans une activité adaptée compte tenu de ses nombreuses limitations fonctionnelles, en particulier son impossibilité de marcher correctement. Il requérait à tout le moins la mise en œuvre d’une expertise médicale.</w:t>
      </w:r>
    </w:p>
    <w:p>
      <w:r>
        <w:t>- 7 - Dans sa réponse du 24 avril 2018, l’OAI a conclu au rejet du recours et à la confirmation de la décision querellée. A son avis une expertise médicale ne se justifiait pas en l’occurrence ; sur la base des éléments en sa possession, il y avait lieu de constater que, un an après le début de l’incapacité de travail, l’assuré était en mesure de travailler à 100 % dans une activité adaptée. Aux termes de sa réplique du 8 mai 2018, I.________ a maintenu ses conclusions ainsi que sa requête d’expertise judiciaire. Une copie de cette écriture a été transmise à l’OAI pour son information.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w:t>
      </w:r>
    </w:p>
    <w:p>
      <w:r>
        <w:t>- 8 - b) En l’espèce, déposé en temps utile auprès du tribunal compétent, et selon les formes prescrites par la loi (art. 61 let. b LPGA notamment), le recours est recevable. 2. Le litige porte sur le droit du recourant à une rente de l’assurance-invalidité, singulièrement sur le degré d’invalidité à la base de cette prestation.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Lorsque, comme en l'espèce, l'administration est entrée en matière sur une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ATF 130 V 71 consid. 3.2).</w:t>
      </w:r>
    </w:p>
    <w:p>
      <w:r>
        <w:t>- 9 - c) Aux termes de l’art. 17 al. 1 LPGA, lorsque le taux d’invalidité du bénéficiaire du droit à la rente subit une modification notable, la rente est, d’office ou sur demande, révisée pour l’avenir, à savoir augmentée ou réduite en conséquence, ou encore supprimée.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1 RAI [règlement du 17 janvier 1961 sur l'assurance-invalidité ; RS 831.201]). Tout changement important des circonstances propres à influencer le degré d’invalidité, et donc le droit à la rente, peut motiver une révision selon les dispositions précitées ; la rente peut être révisée non seulement en cas de modification sensible de l’état de santé, mais aussi lorsque celui-ci est resté en soi le même, mais que ses conséquences sur la capacité de gain ont subi un changement important (ATF 133 V 545 consid. 6.1 ; ATF 130 V 343 consid. 3.5 ; ATF 113 V 273 consid. 1a ; voir également ATF 112 V 371 consid. 2b et ATF 112 V 387 consid. 1b). Une appréciation différente d'une situation demeurée inchangée pour l'essentiel ne constitue pas un motif de révision (TFA I 491/03 du 20 novembre 2003 consid. 2.2 in fine et les références citées).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 ATF 130 V 343 consid. 3.5.2 ; ATF 125 V 368 consid. 2 et la référence citée ; TF 9C_431/2009 du 3 novembre 2009 consid. 2.1 et les références citées).</w:t>
      </w:r>
    </w:p>
    <w:p>
      <w:r>
        <w:t>- 10 - d)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4. En l’espèce, le recourant présente un tableau clinique caractérisé par un steppage séquellaire du pied droit consécutif à une opération d’une récidive de hernie discale paralysante L3-L4 pratiquée en urgence le 14 octobre 2016 au CHUV. Cette atteinte nerveuse l’empêche –</w:t>
      </w:r>
    </w:p>
    <w:p>
      <w:r>
        <w:t>- 11 - cela n’est pas contesté – d’exercer une activité lourde telle que celle de jointoyeur. Selon les conclusions du SMR, le recourant avait recouvré, à l’échéance du délai d’attente d’un an, le 14 octobre 2017, une capacité de travail de 100 % dans une activité adaptée à ses limitations fonctionnelles (à savoir : alternance des positions, pas de soulèvement régulier de charges d’un poids excédant cinq kilos, pas de port régulier de charges d’un poids excédant douze kilos, pas de travail en porte-à-faux statique prolongé du tronc, pas de marche en terrain irrégulier et pas de montée et de descente d’échelles et d’escaliers ni sur les échafaudages). Cela étant, il y a lieu de constater que le recourant, s’il présente – compte tenu de la survenance d’un steppage séquellaire du pied droit – de nouvelles limitations fonctionnelles par rapport à celles qui avaient été retenues au terme de l’instruction de la première demande de prestations (cf. rapport du SMR du 10 juin 2005, p. 5), n’apparaît pas, au regard des pièces médicales versées au dossier, limité dans l’exercice d’une activité adaptée respectant les restrictions fonctionnelles mises en évidence. Dans son rapport du 27 octobre 2017, le Dr J.________ indiquait en effet que les séquelles étaient stables à douze mois de l’intervention du 14 octobre 2016 et que le recourant pouvait marcher avec un « stepping du coté doit » sans limitations particulières dans son quotidien. Ce médecin ne prévoyait pas de revoir le recourant et l’encourageait notamment à exercer une activité physique (par exemple de la marche). Les réponses apportées le 21 novembre 2017 par le Dr N.________ au questionnaire de l’OAI – en particulier celles relatives à l’appréciation de la capacité de travail du recourant – ne permettent pas de remettre en question le point de vue défendu par le SMR. En premier lieu, il convient de constater que les observations de ce médecin relatives au déficit des releveurs et des éverseurs du pied étaient en contradiction avec celles rapportées par les médecins du CHUV (cf. rapport du 27 octobre 2017, lequel fait état d’une force côtée à M3). Le Dr N.________ justifie par ailleurs la capacité de travail réduite de son patient par des</w:t>
      </w:r>
    </w:p>
    <w:p>
      <w:r>
        <w:t>- 12 - facteurs étrangers à l’invalidité, notamment son absence de formation professionnelle. Aussi convient-il de constater qu’à l’échéance du délai d’attente légal d’un an, soit en l’occurrence le 14 octobre 2017, le recourant avait recouvré une capacité de travail entière dans une activité adaptée à ses limitations fonctionnelles. C’est par conséquent à juste titre que l’office intimé a rejeté la nouvelle demande de prestations du recourant. 5. La situation médicale étant claire, il n’y a pas lieu de donner suite à la requête du recourant tendant à la mise en œuvre d’une expertise par le tribunal (cf. appréciation anticipée des preuves, ATF 134 I 140 consid. 5.3, 131 I 153 consid. 3 et 130 II 425 consid. 2). 6. a) Mal fondé,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al. 1bis LAI). En l’espèce, compte tenu de l’ampleur de la procédure, les frais de justice doivent être arrêtés à 400 fr. et être mis à la charge du recourant, qui succombe (art. 69 aI. 1bis LAI ; art. 49 al. 1 LPA-VD). Toutefois, dès lors que ce dernier a été mis au bénéfice de l'assistance judiciaire partielle, ces frais sont laissés provisoirement à la charge de l'Etat. Le recourant est néanmoins rendu attentif au fait qu’il devra rembourser les frais judiciaires dès qu’il sera en mesure de le faire (art. 123 al. 1 CPC [Code de procédure civile du 19 décembre 2008 ; RS 272] ; art. 18 al. 5 LPA-VD). Il incombera au Service juridique et législatif de fixer les modalités de remboursement</w:t>
      </w:r>
    </w:p>
    <w:p>
      <w:r>
        <w:t>- 13 - (art. 5 RAJ [règlement du 7 décembre 2010 sur l'assistance judiciaire en matière civile ; RSV 211.02.3]). c) Il n’y a par ailleurs pas lieu d’allouer de dépens, le recourant, au demeurant non représenté par un mandataire professionnel, n’obtenant pas gain de cause (art. 55 al. 1 LPA-VD et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