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ZD18.009189 vom 13. November 2018</w:t>
      </w:r>
    </w:p>
    <w:p>
      <w:r>
        <w:t>VD Tribunal cantonal, 2018-11-13, FR</w:t>
      </w:r>
    </w:p>
    <w:p>
      <w:r>
        <w:rPr>
          <w:b/>
        </w:rPr>
        <w:t xml:space="preserve">Quelle: </w:t>
      </w:r>
      <w:r>
        <w:t>https://mcp.opencaselaw.ch/entscheid/vd_gerichte_ZD18.009189</w:t>
      </w:r>
    </w:p>
    <w:p>
      <w:r>
        <w:t>FR: VD_GERICHTE ZD18.009189 du 13 novembre 2018</w:t>
      </w:r>
    </w:p>
    <w:p>
      <w:r>
        <w:t>IT: VD_GERICHTE ZD18.009189 del 13 novembre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En l’espèce, le litige porte sur la question de savoir si le recourant présente, en raison d’une atteinte à la santé, une diminution de sa capacité de travail et de sa capacité de gain susceptible de lui ouvrir le droit à des prestations de l’assurance-invalidité.</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w:t>
      </w:r>
    </w:p>
    <w:p>
      <w:r>
        <w:t>- 9 -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 L’assuré peut en outre prétendre à une mesure de reclassement s’il est invalide à 20% environ (ATF 139 V 399 consid. 5.3 ; 130 V 488 consid. 4.2 ; 124 V 108 consid. 2b).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- 10 -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 Par ailleurs,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 personne assurée pendant le stage (TF 9C_83/2013 et 9C_104/2013 du 9 juillet 2013 consid. 4.2, 9C_426/2011 du 14 décembre 2011 consid. 4.3 et 9C_854/2010 du 30 décembre 2010 consid. 3.2 et les références citées ; TFA 762/2002 du 6 mai 2003 consid. 2). Cela étant, les informations recueillies par les organes d'observation professionnelle ont pour fonction de compléter les données médicales en examinant concrètement dans quelle mesure un assuré est à même de mettre en valeur une capacité de travail et de gain sur le marché du travail (ATF 107 V 17 consid. 2b; TF 9C_136/2014 du 24 juin 2014 consid. 3.3, 9C_83/2013 et 9C_104/2013 du 9 juillet 2013 consid. 4.2, 9C_739/2010 du 1er juin 2011 consid. 2.3 et les références citées). Lorsque ces appréciations divergent sensiblement, il incombe à l'administration, respectivement au juge, de requérir un complément d'instruction (TF 9C_83/2013 du 9 juillet</w:t>
      </w:r>
    </w:p>
    <w:p>
      <w:r>
        <w:t>- 11 - 2013 consid. 4.2 ; cf. également TF 8C_760/2014 du 15 octobre 2015 consid. 4.3).</w:t>
      </w:r>
    </w:p>
    <w:p>
      <w:r>
        <w:rPr>
          <w:b/>
        </w:rPr>
        <w:t>E. 4</w:t>
      </w:r>
    </w:p>
    <w:p>
      <w:r>
        <w:t>a) En l’espèce, l’intimé a retenu que le recourant présentait, à compter du 11 mai 2016, une capacité de travail de 100 % dans une activité adaptée à ses limitations fonctionnelles, ce que le recourant conteste. Ce faisant, l’intimé s’est fondé sur les conclusions de la CNA, qui reprenaient celles du Dr M.________ qui lui-même se fondait sur le rapport du 16 mars 2016 rédigé par les médecins de la Clinique Z.________. Selon ces conclusions, la capacité de travail du recourant était totale dans des activités respectant ses limitations fonctionnelles, l’intéressé n’étant plus à même d’effectuer de longs trajets, de porter de charges lourdes excédant 15 à 25 kg, de travailler dans des positions contraignantes pour les genoux, ainsi que de monter et descendre des escaliers ou des échelles. Ces constatations coïncident avec celles relevées par le Dr J.________, lequel a indiqué dans son dernier rapport soumis à l’intimé qu’une activité adaptée serait possible, probablement dès mars 2016, espérant que le recourant parvienne à récupérer, à moyen terme, une capacité de travail à 100 % pour une telle activité (cf. rapport du Dr J.________ du 29 janvier 2016). b) En l’espèce, l’instruction de l’intimé s’avère lacunaire sur le plan orthopédique. Il convient ainsi de relever que le dernier rapport du Dr J.________ date du mois de janvier 2016, soit deux ans avant la décision querellée, et que le taux d’activité n’était pas déterminé, mais seulement présumé. Depuis lors, l’intimé ne s’est pas enquis de l’avis de ce médecin, quand bien même le recourant a indiqué, notamment dans son courrier du 24 janvier 2017, devoir prochainement subir une intervention chirurgicale au niveau du pied (en raison d’un affaissement des os du pied). Il appartenait ainsi à l’intimé d’actualiser la situation orthopédique du recourant en interrogeant le Dr J.________ avant de rendre sa décision du 2 février 2018.</w:t>
      </w:r>
    </w:p>
    <w:p>
      <w:r>
        <w:t>- 12 - Par ailleurs, il sied de constater que tant le Dr J.________ que les Drs M.________, C.________ et P.________ sont intervenus auprès du recourant dans le cadre de la problématique qu’il présentait au niveau de son genou, suite à son accident du 22 décembre 2012. Aussi, les conclusions quant à la capacité de travail du recourant ont été posées dans un contexte circonscrit à la problématique de la fracture de la rotule et les conséquences y relatives. Or, contrairement à la CNA, l’intimé ne pouvait se limiter à examiner cette problématique et devait étendre son investigation à l’ensemble des pathologies dont souffre le recourant. De fait, l’intimé ne pouvait se baser sur le seul dossier de la CNA pour fonder sa décision. En effet, outre la fracture de la rotule et ses séquelles, il ressort du dossier de l’OAI que le recourant souffre de lombalgies, de migraines ophtalmiques et de fatigue, atteintes qui n’ont pas fait l’objet d’une investigation de la part de l’intimé, quand bien même elles ont conduit à la non-validation, respectivement l’interruption des stages effectués dans le cadre du processus de reclassement. En particulier, l’intimé n’a pas interrogé le Dr W.________, alors que celui-ci a produit, le 24 mars 2017, un rapport médical du 15 décembre 2016, initialement adressé au Dr X.________, faisant état de migraines ophtalmiques récurrentes. Enfin, s’agissant de la capacité de travail dans une activité adaptée, contrairement à la CNA, la Fondation N.________, qui a pris en considération tant les douleurs au niveau du genou que celles exprimées au niveau du dos, est arrivée à la conclusion que les difficultés de santé actuelle du recourant ne lui permettaient pas de travailler, même dans un environnement adapté. Le Dr S.________ a quant à lui estimé cette capacité résiduelle de travail à 30 %. c)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w:t>
      </w:r>
    </w:p>
    <w:p>
      <w:r>
        <w:t>- 13 - 2007 consid. 4.2 in SVR 2007 UV n° 33 p. 111 ; Ueli Kieser, ATSG- Kommentar, Berne/St-Gall/Zurich 3ème éd. 2015, n° 27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137 V 210 consid. 4.4 et 122 V 157 consid. 1d).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que lorsque les données recueillies par l’administration en cours d’instruction ne revêtent pas une valeur probante suffisante sur des points décisifs (ATF 137 V 210 consid. 4.4.1.4 et 4.4.1.5). d) Par conséquent, l’intimé ne pouvait faire l’impasse d’une actualisation de la situation orthopédique et neurologique notamment avant de rendre la décision litigieuse. Il n’appartient cependant pas à la Cour de céans d’ordonner la forme que doit prendre cette instruction, mais à l’intimé de mettre en œuvre les mesures d’instruction idoines conformément au principe inquisitoire qui régit la procédure dans le domaine des assurances sociales (art. 43 al. 1 LPGA), et, aux termes de celles-ci d’évaluer l’éventuelle capacité résiduelle de travail du recourant.</w:t>
      </w:r>
    </w:p>
    <w:p>
      <w:r>
        <w:rPr>
          <w:b/>
        </w:rPr>
        <w:t>E. 5</w:t>
      </w:r>
    </w:p>
    <w:p>
      <w:r>
        <w:t>a) Le recours doit ainsi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w:t>
      </w:r>
    </w:p>
    <w:p>
      <w:r>
        <w:t>- 14 - à des frais de justice (art. 69 al. 1bis LAI). En l’espèce, il convient d’arrêter les frais judiciaires à 400 fr. et de les mettre à charge de l’OAI, qui succombe. c) Il n’y a pas lieu d’allouer de dépens au recourant qui obtient gain de cause sans l’assistance des services d’un mandataire professionnel pour la défense de ses intérêts (art. 61 let. g LPGA ; art. 55 al. 1 a contrario LPA-VD).</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